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5A53F9" w:rsidRDefault="005A53F9" w:rsidP="00454BB1">
      <w:pPr>
        <w:jc w:val="center"/>
        <w:rPr>
          <w:rFonts w:ascii="Arial" w:hAnsi="Arial"/>
          <w:b/>
          <w:sz w:val="28"/>
          <w:szCs w:val="28"/>
        </w:rPr>
      </w:pPr>
    </w:p>
    <w:p w:rsidR="005A53F9" w:rsidRDefault="005A53F9" w:rsidP="00454BB1">
      <w:pPr>
        <w:jc w:val="center"/>
        <w:rPr>
          <w:rFonts w:ascii="Arial" w:hAnsi="Arial"/>
          <w:b/>
          <w:sz w:val="28"/>
          <w:szCs w:val="28"/>
        </w:rPr>
      </w:pPr>
    </w:p>
    <w:p w:rsidR="00454BB1" w:rsidRPr="00454BB1" w:rsidRDefault="00454BB1" w:rsidP="00454BB1">
      <w:pPr>
        <w:jc w:val="center"/>
        <w:rPr>
          <w:rFonts w:ascii="Arial" w:hAnsi="Arial"/>
          <w:b/>
          <w:sz w:val="28"/>
          <w:szCs w:val="28"/>
        </w:rPr>
      </w:pPr>
      <w:r w:rsidRPr="00454BB1">
        <w:rPr>
          <w:rFonts w:ascii="Arial" w:hAnsi="Arial"/>
          <w:b/>
          <w:sz w:val="28"/>
          <w:szCs w:val="28"/>
        </w:rPr>
        <w:t xml:space="preserve">KwaZulu-Natal </w:t>
      </w:r>
      <w:r w:rsidR="00BD3888">
        <w:rPr>
          <w:rFonts w:ascii="Arial" w:hAnsi="Arial"/>
          <w:b/>
          <w:sz w:val="28"/>
          <w:szCs w:val="28"/>
        </w:rPr>
        <w:t>Investment</w:t>
      </w:r>
      <w:r w:rsidR="005F396D">
        <w:rPr>
          <w:rFonts w:ascii="Arial" w:hAnsi="Arial"/>
          <w:b/>
          <w:sz w:val="28"/>
          <w:szCs w:val="28"/>
        </w:rPr>
        <w:t xml:space="preserve"> </w:t>
      </w:r>
      <w:r w:rsidR="00BD3888">
        <w:rPr>
          <w:rFonts w:ascii="Arial" w:hAnsi="Arial"/>
          <w:b/>
          <w:sz w:val="28"/>
          <w:szCs w:val="28"/>
        </w:rPr>
        <w:t>Monitor</w:t>
      </w:r>
      <w:r w:rsidRPr="00454BB1">
        <w:rPr>
          <w:rFonts w:ascii="Arial" w:hAnsi="Arial"/>
          <w:b/>
          <w:sz w:val="28"/>
          <w:szCs w:val="28"/>
        </w:rPr>
        <w:t xml:space="preserve"> </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435A38" w:rsidP="00454BB1">
      <w:pPr>
        <w:jc w:val="center"/>
        <w:rPr>
          <w:rFonts w:ascii="Arial" w:hAnsi="Arial"/>
          <w:b/>
        </w:rPr>
      </w:pPr>
      <w:r>
        <w:rPr>
          <w:rFonts w:ascii="Arial" w:hAnsi="Arial"/>
          <w:b/>
        </w:rPr>
        <w:t>March</w:t>
      </w:r>
      <w:r w:rsidR="00C9312D">
        <w:rPr>
          <w:rFonts w:ascii="Arial" w:hAnsi="Arial"/>
          <w:b/>
        </w:rPr>
        <w:t xml:space="preserve"> 2012</w:t>
      </w:r>
    </w:p>
    <w:p w:rsidR="00454BB1" w:rsidRDefault="00454BB1" w:rsidP="00454BB1">
      <w:pPr>
        <w:jc w:val="center"/>
        <w:rPr>
          <w:rFonts w:ascii="Arial" w:hAnsi="Arial"/>
          <w:b/>
        </w:rPr>
      </w:pPr>
    </w:p>
    <w:p w:rsidR="005A53F9" w:rsidRDefault="005A53F9">
      <w:pPr>
        <w:rPr>
          <w:rFonts w:ascii="Arial" w:hAnsi="Arial"/>
        </w:rPr>
        <w:sectPr w:rsidR="005A53F9" w:rsidSect="00184712">
          <w:headerReference w:type="default" r:id="rId7"/>
          <w:footerReference w:type="default" r:id="rId8"/>
          <w:pgSz w:w="12240" w:h="15840"/>
          <w:pgMar w:top="3649" w:right="474" w:bottom="1440" w:left="426" w:header="2127" w:footer="2836" w:gutter="0"/>
          <w:cols w:space="708"/>
          <w:docGrid w:linePitch="360"/>
        </w:sectPr>
      </w:pPr>
      <w:r>
        <w:rPr>
          <w:rFonts w:ascii="Arial" w:hAnsi="Arial"/>
        </w:rPr>
        <w:br w:type="page"/>
      </w:r>
    </w:p>
    <w:p w:rsidR="00435A38" w:rsidRPr="00435A38" w:rsidRDefault="00435A38" w:rsidP="00435A38">
      <w:pPr>
        <w:rPr>
          <w:rFonts w:ascii="Arial" w:hAnsi="Arial"/>
          <w:b/>
          <w:sz w:val="40"/>
          <w:szCs w:val="40"/>
        </w:rPr>
      </w:pPr>
      <w:r w:rsidRPr="00435A38">
        <w:rPr>
          <w:rFonts w:ascii="Arial" w:hAnsi="Arial"/>
          <w:b/>
          <w:sz w:val="40"/>
          <w:szCs w:val="40"/>
        </w:rPr>
        <w:lastRenderedPageBreak/>
        <w:t>Fixed investment in general slowdown</w:t>
      </w:r>
    </w:p>
    <w:p w:rsidR="00435A38" w:rsidRDefault="00435A38" w:rsidP="00435A38">
      <w:pPr>
        <w:rPr>
          <w:b/>
          <w:sz w:val="44"/>
          <w:szCs w:val="44"/>
        </w:rPr>
      </w:pPr>
    </w:p>
    <w:p w:rsidR="00435A38" w:rsidRDefault="00435A38" w:rsidP="00435A38">
      <w:pPr>
        <w:rPr>
          <w:b/>
          <w:sz w:val="44"/>
          <w:szCs w:val="44"/>
        </w:rPr>
      </w:pPr>
      <w:r>
        <w:rPr>
          <w:noProof/>
          <w:lang w:val="en-ZA" w:eastAsia="en-ZA"/>
        </w:rPr>
        <w:drawing>
          <wp:inline distT="0" distB="0" distL="0" distR="0">
            <wp:extent cx="5943600" cy="3880485"/>
            <wp:effectExtent l="0" t="0" r="19050" b="2476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35A38" w:rsidRPr="00435A38" w:rsidRDefault="00435A38" w:rsidP="00435A38">
      <w:pPr>
        <w:spacing w:line="240" w:lineRule="auto"/>
        <w:rPr>
          <w:rFonts w:ascii="Arial" w:hAnsi="Arial"/>
          <w:szCs w:val="20"/>
        </w:rPr>
      </w:pPr>
      <w:r w:rsidRPr="00435A38">
        <w:rPr>
          <w:rFonts w:ascii="Arial" w:hAnsi="Arial"/>
          <w:szCs w:val="20"/>
        </w:rPr>
        <w:t xml:space="preserve">Fixed investment in KwaZulu-Natal has slowed down in general. </w:t>
      </w:r>
      <w:proofErr w:type="gramStart"/>
      <w:r w:rsidRPr="00435A38">
        <w:rPr>
          <w:rFonts w:ascii="Arial" w:hAnsi="Arial"/>
          <w:szCs w:val="20"/>
        </w:rPr>
        <w:t xml:space="preserve">The total investment index of the latest KwaZulu-Natal investment monitor, as compiled by Mike </w:t>
      </w:r>
      <w:proofErr w:type="spellStart"/>
      <w:r w:rsidRPr="00435A38">
        <w:rPr>
          <w:rFonts w:ascii="Arial" w:hAnsi="Arial"/>
          <w:szCs w:val="20"/>
        </w:rPr>
        <w:t>Schüssler</w:t>
      </w:r>
      <w:proofErr w:type="spellEnd"/>
      <w:r w:rsidRPr="00435A38">
        <w:rPr>
          <w:rFonts w:ascii="Arial" w:hAnsi="Arial"/>
          <w:szCs w:val="20"/>
        </w:rPr>
        <w:t xml:space="preserve"> of Economists.co.za, increased by only 11.3% year-on-year, its slowest growth in seven months.</w:t>
      </w:r>
      <w:proofErr w:type="gramEnd"/>
      <w:r w:rsidRPr="00435A38">
        <w:rPr>
          <w:rFonts w:ascii="Arial" w:hAnsi="Arial"/>
          <w:szCs w:val="20"/>
        </w:rPr>
        <w:t xml:space="preserve"> The</w:t>
      </w:r>
      <w:bookmarkStart w:id="0" w:name="_GoBack"/>
      <w:bookmarkEnd w:id="0"/>
      <w:r w:rsidRPr="00435A38">
        <w:rPr>
          <w:rFonts w:ascii="Arial" w:hAnsi="Arial"/>
          <w:szCs w:val="20"/>
        </w:rPr>
        <w:t xml:space="preserve"> major reason for the slower growth in March was the weakening of the rand’s exchange rate towards the end of last year. </w:t>
      </w:r>
      <w:proofErr w:type="gramStart"/>
      <w:r w:rsidRPr="00435A38">
        <w:rPr>
          <w:rFonts w:ascii="Arial" w:hAnsi="Arial"/>
          <w:szCs w:val="20"/>
        </w:rPr>
        <w:t>This lead</w:t>
      </w:r>
      <w:r>
        <w:rPr>
          <w:rFonts w:ascii="Arial" w:hAnsi="Arial"/>
          <w:szCs w:val="20"/>
        </w:rPr>
        <w:t xml:space="preserve"> </w:t>
      </w:r>
      <w:r w:rsidRPr="00435A38">
        <w:rPr>
          <w:rFonts w:ascii="Arial" w:hAnsi="Arial"/>
          <w:szCs w:val="20"/>
        </w:rPr>
        <w:t>to businesses importing goods earlier for fear of further exchange rate depreciation.</w:t>
      </w:r>
      <w:proofErr w:type="gramEnd"/>
      <w:r w:rsidRPr="00435A38">
        <w:rPr>
          <w:rFonts w:ascii="Arial" w:hAnsi="Arial"/>
          <w:szCs w:val="20"/>
        </w:rPr>
        <w:t xml:space="preserve"> Fixed investment in KwaZulu-Natal will most likely go through an even quieter period in the next two or three months as a lot of imported capital goods were bought upfront. The slowdown in the world economy will also contribute to weaker fixed investment growth in KwaZulu-Natal, not only in transport equipment, machinery and ICT equipment, but also in buildings and other parts or fixed investment.</w:t>
      </w:r>
    </w:p>
    <w:p w:rsidR="00435A38" w:rsidRPr="00435A38" w:rsidRDefault="00435A38" w:rsidP="00435A38">
      <w:pPr>
        <w:spacing w:line="240" w:lineRule="auto"/>
        <w:rPr>
          <w:rFonts w:ascii="Arial" w:hAnsi="Arial"/>
          <w:szCs w:val="20"/>
        </w:rPr>
      </w:pPr>
    </w:p>
    <w:p w:rsidR="00435A38" w:rsidRPr="00435A38" w:rsidRDefault="00435A38" w:rsidP="00435A38">
      <w:pPr>
        <w:spacing w:line="240" w:lineRule="auto"/>
        <w:rPr>
          <w:rFonts w:ascii="Arial" w:hAnsi="Arial"/>
          <w:b/>
          <w:szCs w:val="20"/>
        </w:rPr>
      </w:pPr>
      <w:r w:rsidRPr="00435A38">
        <w:rPr>
          <w:rFonts w:ascii="Arial" w:hAnsi="Arial"/>
          <w:b/>
          <w:szCs w:val="20"/>
        </w:rPr>
        <w:t>Parts and spares driving machinery investment decline</w:t>
      </w:r>
    </w:p>
    <w:p w:rsidR="00435A38" w:rsidRPr="00435A38" w:rsidRDefault="00435A38" w:rsidP="00435A38">
      <w:pPr>
        <w:spacing w:line="240" w:lineRule="auto"/>
        <w:rPr>
          <w:rFonts w:ascii="Arial" w:hAnsi="Arial"/>
          <w:szCs w:val="20"/>
        </w:rPr>
      </w:pPr>
      <w:r w:rsidRPr="00435A38">
        <w:rPr>
          <w:rFonts w:ascii="Arial" w:hAnsi="Arial"/>
          <w:szCs w:val="20"/>
        </w:rPr>
        <w:t>Investment in machinery, transport equipment and ICT equipment were most affected by the slowdown in imports after earlier pre-emptive buying. Investment in machinery is the only one of the three categories which still grew on a quarter-on-quarter basis, by 5.3%. Year-on-year fixed investment in machinery increased by 8.8%, the first single-digit growth after 20 months of double-digit growth. Last March, machinery investment grew by almost 40% year-on-year, which means the high base of last year also contributed to the slow growth currently seen. Looking at the various components in the machinery index, it seems parts and spares were the categories where most pre-emptive buying took place and are now in decline. Investment in new machinery is still growing.</w:t>
      </w:r>
    </w:p>
    <w:p w:rsidR="00435A38" w:rsidRPr="00435A38" w:rsidRDefault="00435A38" w:rsidP="00435A38">
      <w:pPr>
        <w:spacing w:line="240" w:lineRule="auto"/>
        <w:rPr>
          <w:rFonts w:ascii="Arial" w:hAnsi="Arial"/>
          <w:szCs w:val="20"/>
        </w:rPr>
      </w:pPr>
    </w:p>
    <w:p w:rsidR="00435A38" w:rsidRPr="00435A38" w:rsidRDefault="00435A38" w:rsidP="00435A38">
      <w:pPr>
        <w:spacing w:line="240" w:lineRule="auto"/>
        <w:rPr>
          <w:rFonts w:ascii="Arial" w:hAnsi="Arial"/>
          <w:b/>
          <w:szCs w:val="20"/>
        </w:rPr>
      </w:pPr>
      <w:r w:rsidRPr="00435A38">
        <w:rPr>
          <w:rFonts w:ascii="Arial" w:hAnsi="Arial"/>
          <w:b/>
          <w:szCs w:val="20"/>
        </w:rPr>
        <w:t>Transport equipment disappoints</w:t>
      </w:r>
    </w:p>
    <w:p w:rsidR="00435A38" w:rsidRPr="00435A38" w:rsidRDefault="00435A38" w:rsidP="00435A38">
      <w:pPr>
        <w:spacing w:line="240" w:lineRule="auto"/>
        <w:rPr>
          <w:rFonts w:ascii="Arial" w:hAnsi="Arial"/>
          <w:szCs w:val="20"/>
        </w:rPr>
      </w:pPr>
      <w:r w:rsidRPr="00435A38">
        <w:rPr>
          <w:rFonts w:ascii="Arial" w:hAnsi="Arial"/>
          <w:szCs w:val="20"/>
        </w:rPr>
        <w:t xml:space="preserve">Investment in transport equipment in KwaZulu-Natal fell year-on-year for the first time in eight months. The 4% year-on-year declined follows year-on-year growth of 36.5% in February. Quarter-on-quarter investment in transport equipment fell by 9.6%.  Investment in trucks in KwaZulu-Natal grew by only 6.6% year-on-year </w:t>
      </w:r>
      <w:r w:rsidRPr="00435A38">
        <w:rPr>
          <w:rFonts w:ascii="Arial" w:hAnsi="Arial"/>
          <w:szCs w:val="20"/>
        </w:rPr>
        <w:lastRenderedPageBreak/>
        <w:t>compared to 30.2% the previous month and growth in investment in ships came down from 113.6% two months ago to 43.1% in March. A year ago R3.2 billion was spent countrywide on importing aircraft. This came down to only R400 million.</w:t>
      </w:r>
    </w:p>
    <w:p w:rsidR="00435A38" w:rsidRPr="00435A38" w:rsidRDefault="00435A38" w:rsidP="00435A38">
      <w:pPr>
        <w:spacing w:line="240" w:lineRule="auto"/>
        <w:rPr>
          <w:rFonts w:ascii="Arial" w:hAnsi="Arial"/>
          <w:szCs w:val="20"/>
        </w:rPr>
      </w:pPr>
      <w:r w:rsidRPr="00435A38">
        <w:rPr>
          <w:rFonts w:ascii="Arial" w:hAnsi="Arial"/>
          <w:szCs w:val="20"/>
        </w:rPr>
        <w:t xml:space="preserve">These categories of transport equipment show the effect of investment decisions that were influenced by the currency at the end of last year. At that time, capital goods were bought pre-emptively, especially those goods which are often priced in US dollar and other foreign currencies. </w:t>
      </w:r>
    </w:p>
    <w:p w:rsidR="00435A38" w:rsidRPr="00435A38" w:rsidRDefault="00435A38" w:rsidP="00435A38">
      <w:pPr>
        <w:spacing w:line="240" w:lineRule="auto"/>
        <w:rPr>
          <w:rFonts w:ascii="Arial" w:hAnsi="Arial"/>
          <w:szCs w:val="20"/>
        </w:rPr>
      </w:pPr>
    </w:p>
    <w:p w:rsidR="00435A38" w:rsidRPr="00435A38" w:rsidRDefault="00435A38" w:rsidP="00435A38">
      <w:pPr>
        <w:spacing w:line="240" w:lineRule="auto"/>
        <w:rPr>
          <w:rFonts w:ascii="Arial" w:hAnsi="Arial"/>
          <w:b/>
          <w:szCs w:val="20"/>
        </w:rPr>
      </w:pPr>
      <w:r w:rsidRPr="00435A38">
        <w:rPr>
          <w:rFonts w:ascii="Arial" w:hAnsi="Arial"/>
          <w:b/>
          <w:szCs w:val="20"/>
        </w:rPr>
        <w:t>ICT equipment growth slowing temporarily</w:t>
      </w:r>
    </w:p>
    <w:p w:rsidR="00435A38" w:rsidRPr="00435A38" w:rsidRDefault="00435A38" w:rsidP="00435A38">
      <w:pPr>
        <w:spacing w:line="240" w:lineRule="auto"/>
        <w:rPr>
          <w:rFonts w:ascii="Arial" w:hAnsi="Arial"/>
          <w:szCs w:val="20"/>
        </w:rPr>
      </w:pPr>
      <w:r w:rsidRPr="00435A38">
        <w:rPr>
          <w:rFonts w:ascii="Arial" w:hAnsi="Arial"/>
          <w:szCs w:val="20"/>
        </w:rPr>
        <w:t>Growth in investment in ICT equipment in KwaZulu-Natal was also affected by this trend and slowed to less than 20% year-on-year for the first time in six months. Although the 19.6% year-on-year growth was still very good, investment in ICT equipment declined by 7% quarter-on-quarter, the first decline in more than a year.</w:t>
      </w:r>
    </w:p>
    <w:p w:rsidR="00435A38" w:rsidRPr="00435A38" w:rsidRDefault="00435A38" w:rsidP="00435A38">
      <w:pPr>
        <w:spacing w:line="240" w:lineRule="auto"/>
        <w:rPr>
          <w:rFonts w:ascii="Arial" w:hAnsi="Arial"/>
          <w:szCs w:val="20"/>
        </w:rPr>
      </w:pPr>
      <w:r w:rsidRPr="00435A38">
        <w:rPr>
          <w:rFonts w:ascii="Arial" w:hAnsi="Arial"/>
          <w:szCs w:val="20"/>
        </w:rPr>
        <w:t>It might take some months before ICT investment in KwaZulu-Natal start growing again on a quarter-on-quarter basis, but it will eventually happen as more cellphone and internet infrastructure development is planned for the province. Some parts of KwaZulu-Natal are indeed slowly making its way to become a knowledge-based economy.</w:t>
      </w:r>
    </w:p>
    <w:p w:rsidR="00435A38" w:rsidRPr="00435A38" w:rsidRDefault="00435A38" w:rsidP="00435A38">
      <w:pPr>
        <w:spacing w:line="240" w:lineRule="auto"/>
        <w:rPr>
          <w:rFonts w:ascii="Arial" w:hAnsi="Arial"/>
          <w:szCs w:val="20"/>
        </w:rPr>
      </w:pPr>
    </w:p>
    <w:p w:rsidR="00435A38" w:rsidRPr="00435A38" w:rsidRDefault="00435A38" w:rsidP="00435A38">
      <w:pPr>
        <w:spacing w:line="240" w:lineRule="auto"/>
        <w:rPr>
          <w:rFonts w:ascii="Arial" w:hAnsi="Arial"/>
          <w:b/>
          <w:szCs w:val="20"/>
        </w:rPr>
      </w:pPr>
      <w:r w:rsidRPr="00435A38">
        <w:rPr>
          <w:rFonts w:ascii="Arial" w:hAnsi="Arial"/>
          <w:b/>
          <w:szCs w:val="20"/>
        </w:rPr>
        <w:t>Informal construction carrying buildings investment</w:t>
      </w:r>
    </w:p>
    <w:p w:rsidR="00435A38" w:rsidRPr="00435A38" w:rsidRDefault="00435A38" w:rsidP="00435A38">
      <w:pPr>
        <w:spacing w:line="240" w:lineRule="auto"/>
        <w:rPr>
          <w:rFonts w:ascii="Arial" w:hAnsi="Arial"/>
          <w:szCs w:val="20"/>
        </w:rPr>
      </w:pPr>
      <w:r w:rsidRPr="00435A38">
        <w:rPr>
          <w:rFonts w:ascii="Arial" w:hAnsi="Arial"/>
          <w:szCs w:val="20"/>
        </w:rPr>
        <w:t>Investment in buildings grew by 14.4%, the third consecutive month of year-on-year growth. Quarter-on-quarter growth slowed to 6.8% after three months of double-digit growth. Investment in non-residential buildings was down 36% year-on-year and investment in residential buildings was down 18%. Lumber sales increased by 6.5% year-on-year, which show some informal construction is still taking place in KwaZulu-Natal. The building of RDP houses also doubled from a year ago.</w:t>
      </w:r>
    </w:p>
    <w:p w:rsidR="00435A38" w:rsidRPr="00435A38" w:rsidRDefault="00435A38" w:rsidP="00435A38">
      <w:pPr>
        <w:spacing w:line="240" w:lineRule="auto"/>
        <w:rPr>
          <w:rFonts w:ascii="Arial" w:hAnsi="Arial"/>
          <w:szCs w:val="20"/>
        </w:rPr>
      </w:pPr>
    </w:p>
    <w:p w:rsidR="00435A38" w:rsidRPr="00435A38" w:rsidRDefault="00435A38" w:rsidP="00435A38">
      <w:pPr>
        <w:spacing w:line="240" w:lineRule="auto"/>
        <w:rPr>
          <w:rFonts w:ascii="Arial" w:hAnsi="Arial"/>
          <w:b/>
          <w:szCs w:val="20"/>
        </w:rPr>
      </w:pPr>
      <w:r w:rsidRPr="00435A38">
        <w:rPr>
          <w:rFonts w:ascii="Arial" w:hAnsi="Arial"/>
          <w:b/>
          <w:szCs w:val="20"/>
        </w:rPr>
        <w:t>Transfers still hampered by Eurozone fears</w:t>
      </w:r>
    </w:p>
    <w:p w:rsidR="00435A38" w:rsidRPr="00435A38" w:rsidRDefault="00435A38" w:rsidP="00435A38">
      <w:pPr>
        <w:spacing w:line="240" w:lineRule="auto"/>
        <w:rPr>
          <w:rFonts w:ascii="Arial" w:hAnsi="Arial"/>
          <w:szCs w:val="20"/>
        </w:rPr>
      </w:pPr>
      <w:r w:rsidRPr="00435A38">
        <w:rPr>
          <w:rFonts w:ascii="Arial" w:hAnsi="Arial"/>
          <w:szCs w:val="20"/>
        </w:rPr>
        <w:t>The weak growth in buildings investment affected investment in transfers in KwaZulu-Natal. Transfers declined by 4.7% year-on-year and 6% quarter-on-quarter. Transfers grew for most of last year, but have recently come under pressure as people and businesses are somewhat more fearful to buy property given the uncertainty in Europe.</w:t>
      </w:r>
      <w:r>
        <w:rPr>
          <w:rFonts w:ascii="Arial" w:hAnsi="Arial"/>
          <w:szCs w:val="20"/>
        </w:rPr>
        <w:t xml:space="preserve"> See Results table below.</w:t>
      </w:r>
    </w:p>
    <w:p w:rsidR="00435A38" w:rsidRPr="00435A38" w:rsidRDefault="00435A38" w:rsidP="00435A38">
      <w:pPr>
        <w:spacing w:line="240" w:lineRule="auto"/>
        <w:rPr>
          <w:rFonts w:ascii="Arial" w:hAnsi="Arial"/>
          <w:szCs w:val="20"/>
        </w:rPr>
      </w:pPr>
    </w:p>
    <w:p w:rsidR="00435A38" w:rsidRPr="00435A38" w:rsidRDefault="00435A38" w:rsidP="00435A38">
      <w:pPr>
        <w:spacing w:line="240" w:lineRule="auto"/>
        <w:rPr>
          <w:rFonts w:ascii="Arial" w:hAnsi="Arial"/>
          <w:b/>
          <w:szCs w:val="20"/>
        </w:rPr>
      </w:pPr>
      <w:r w:rsidRPr="00435A38">
        <w:rPr>
          <w:rFonts w:ascii="Arial" w:hAnsi="Arial"/>
          <w:b/>
          <w:szCs w:val="20"/>
        </w:rPr>
        <w:t>Civil construction investment comes out on top</w:t>
      </w:r>
    </w:p>
    <w:p w:rsidR="00435A38" w:rsidRPr="00435A38" w:rsidRDefault="00435A38" w:rsidP="00435A38">
      <w:pPr>
        <w:spacing w:line="240" w:lineRule="auto"/>
        <w:rPr>
          <w:rFonts w:ascii="Arial" w:hAnsi="Arial"/>
          <w:szCs w:val="20"/>
        </w:rPr>
      </w:pPr>
      <w:r w:rsidRPr="00435A38">
        <w:rPr>
          <w:rFonts w:ascii="Arial" w:hAnsi="Arial"/>
          <w:szCs w:val="20"/>
        </w:rPr>
        <w:t xml:space="preserve">Investment in civil construction grew surprisingly fast in March. The 23.4% year-on-year growth was the best among all the sub-indices of the KwaZulu-Natal investment monitor. Quarter-on-quarter it grew by 15%. Imported civil construction material was 37.9% up from a year ago and investment in structural steel was 6.7% higher. </w:t>
      </w:r>
    </w:p>
    <w:p w:rsidR="00435A38" w:rsidRPr="00435A38" w:rsidRDefault="00435A38" w:rsidP="00435A38">
      <w:pPr>
        <w:spacing w:line="240" w:lineRule="auto"/>
        <w:rPr>
          <w:rFonts w:ascii="Arial" w:hAnsi="Arial"/>
          <w:szCs w:val="20"/>
        </w:rPr>
      </w:pPr>
      <w:r w:rsidRPr="00435A38">
        <w:rPr>
          <w:rFonts w:ascii="Arial" w:hAnsi="Arial"/>
          <w:szCs w:val="20"/>
        </w:rPr>
        <w:t xml:space="preserve">The one aspect of continued uncertainty is the lack of new available data on the sales of bitumen and asphalt, which is used in road construction, but on general observation it is clear that road construction is taking place in KwaZulu-Natal. </w:t>
      </w:r>
    </w:p>
    <w:p w:rsidR="00435A38" w:rsidRDefault="00435A38" w:rsidP="00435A38">
      <w:pPr>
        <w:spacing w:line="240" w:lineRule="auto"/>
        <w:rPr>
          <w:rFonts w:ascii="Arial" w:hAnsi="Arial"/>
          <w:szCs w:val="20"/>
        </w:rPr>
      </w:pPr>
    </w:p>
    <w:p w:rsidR="00435A38" w:rsidRDefault="00435A38" w:rsidP="00435A38">
      <w:pPr>
        <w:spacing w:line="240" w:lineRule="auto"/>
        <w:rPr>
          <w:rFonts w:ascii="Arial" w:hAnsi="Arial"/>
          <w:szCs w:val="20"/>
        </w:rPr>
      </w:pPr>
    </w:p>
    <w:p w:rsidR="00435A38" w:rsidRPr="00435A38" w:rsidRDefault="00435A38" w:rsidP="00435A38">
      <w:pPr>
        <w:spacing w:line="240" w:lineRule="auto"/>
        <w:rPr>
          <w:rFonts w:ascii="Arial" w:hAnsi="Arial"/>
          <w:b/>
          <w:szCs w:val="20"/>
        </w:rPr>
      </w:pPr>
      <w:r w:rsidRPr="00435A38">
        <w:rPr>
          <w:rFonts w:ascii="Arial" w:hAnsi="Arial"/>
          <w:b/>
          <w:szCs w:val="20"/>
        </w:rPr>
        <w:t>Results Table: March 2012</w:t>
      </w:r>
    </w:p>
    <w:p w:rsidR="00C9312D" w:rsidRPr="00435A38" w:rsidRDefault="00435A38" w:rsidP="00435A38">
      <w:pPr>
        <w:spacing w:before="100" w:beforeAutospacing="1" w:after="100" w:afterAutospacing="1" w:line="240" w:lineRule="auto"/>
        <w:rPr>
          <w:rFonts w:ascii="Arial" w:hAnsi="Arial"/>
          <w:szCs w:val="20"/>
        </w:rPr>
      </w:pPr>
      <w:r w:rsidRPr="00435A38">
        <w:rPr>
          <w:noProof/>
          <w:lang w:val="en-ZA" w:eastAsia="en-ZA"/>
        </w:rPr>
        <w:drawing>
          <wp:inline distT="0" distB="0" distL="0" distR="0">
            <wp:extent cx="5288280" cy="2072640"/>
            <wp:effectExtent l="0" t="0" r="762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88280" cy="2072640"/>
                    </a:xfrm>
                    <a:prstGeom prst="rect">
                      <a:avLst/>
                    </a:prstGeom>
                    <a:noFill/>
                    <a:ln>
                      <a:noFill/>
                    </a:ln>
                  </pic:spPr>
                </pic:pic>
              </a:graphicData>
            </a:graphic>
          </wp:inline>
        </w:drawing>
      </w:r>
    </w:p>
    <w:p w:rsidR="00C9312D" w:rsidRPr="00435A38" w:rsidRDefault="00C9312D" w:rsidP="00435A38">
      <w:pPr>
        <w:spacing w:line="240" w:lineRule="auto"/>
        <w:rPr>
          <w:rFonts w:ascii="Arial" w:hAnsi="Arial"/>
          <w:szCs w:val="20"/>
        </w:rPr>
      </w:pPr>
    </w:p>
    <w:p w:rsidR="00C9312D" w:rsidRPr="00C9312D" w:rsidRDefault="00C9312D" w:rsidP="00280844">
      <w:pPr>
        <w:spacing w:before="100" w:beforeAutospacing="1" w:after="100" w:afterAutospacing="1" w:line="240" w:lineRule="auto"/>
        <w:rPr>
          <w:rFonts w:ascii="Arial" w:hAnsi="Arial"/>
          <w:szCs w:val="20"/>
        </w:rPr>
      </w:pPr>
    </w:p>
    <w:sectPr w:rsidR="00C9312D" w:rsidRPr="00C9312D"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63E5" w:rsidRDefault="008B63E5" w:rsidP="005A53F9">
      <w:pPr>
        <w:spacing w:line="240" w:lineRule="auto"/>
      </w:pPr>
      <w:r>
        <w:separator/>
      </w:r>
    </w:p>
  </w:endnote>
  <w:endnote w:type="continuationSeparator" w:id="0">
    <w:p w:rsidR="008B63E5" w:rsidRDefault="008B63E5"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FA71CD">
    <w:pPr>
      <w:pStyle w:val="Footer"/>
    </w:pP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8551F" w:rsidRPr="009A05FE" w:rsidRDefault="0078551F"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680206" w:rsidRDefault="00680206" w:rsidP="003D2C89">
                <w:pPr>
                  <w:spacing w:line="240" w:lineRule="auto"/>
                  <w:jc w:val="left"/>
                  <w:rPr>
                    <w:rFonts w:eastAsia="Times New Roman" w:cs="Tahoma"/>
                    <w:color w:val="auto"/>
                    <w:sz w:val="16"/>
                    <w:szCs w:val="16"/>
                  </w:rPr>
                </w:pPr>
              </w:p>
              <w:p w:rsidR="00680206" w:rsidRPr="009A05FE" w:rsidRDefault="00680206"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680206" w:rsidRDefault="00680206"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8551F" w:rsidRPr="009A05FE" w:rsidRDefault="0078551F"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8551F" w:rsidRPr="009A05FE" w:rsidRDefault="0078551F" w:rsidP="00680206">
                <w:pPr>
                  <w:spacing w:line="240" w:lineRule="auto"/>
                  <w:rPr>
                    <w:color w:val="auto"/>
                    <w:sz w:val="16"/>
                    <w:szCs w:val="16"/>
                  </w:rPr>
                </w:pPr>
                <w:r w:rsidRPr="009A05FE">
                  <w:rPr>
                    <w:color w:val="auto"/>
                    <w:sz w:val="16"/>
                    <w:szCs w:val="16"/>
                  </w:rPr>
                  <w:t>Tel: +27 33 264 2500</w:t>
                </w:r>
              </w:p>
              <w:p w:rsidR="0078551F" w:rsidRPr="009A05FE" w:rsidRDefault="0078551F"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EC+M2aD&#10;AgAAFgUAAA4AAAAAAAAAAAAAAAAALgIAAGRycy9lMm9Eb2MueG1sUEsBAi0AFAAGAAgAAAAhADz3&#10;zBXcAAAACQEAAA8AAAAAAAAAAAAAAAAA3QQAAGRycy9kb3ducmV2LnhtbFBLBQYAAAAABAAEAPMA&#10;AADmBQAAAAA=&#10;" stroked="f">
          <v:textbox>
            <w:txbxContent>
              <w:p w:rsidR="0078551F" w:rsidRPr="009A05FE" w:rsidRDefault="0078551F"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8551F" w:rsidRPr="009A05FE" w:rsidRDefault="0078551F"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63E5" w:rsidRDefault="008B63E5" w:rsidP="005A53F9">
      <w:pPr>
        <w:spacing w:line="240" w:lineRule="auto"/>
      </w:pPr>
      <w:r>
        <w:separator/>
      </w:r>
    </w:p>
  </w:footnote>
  <w:footnote w:type="continuationSeparator" w:id="0">
    <w:p w:rsidR="008B63E5" w:rsidRDefault="008B63E5"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rsidRPr="005A53F9">
      <w:rPr>
        <w:noProof/>
        <w:lang w:val="en-ZA" w:eastAsia="en-ZA"/>
      </w:rPr>
      <w:drawing>
        <wp:inline distT="0" distB="0" distL="0" distR="0">
          <wp:extent cx="2162175" cy="771525"/>
          <wp:effectExtent l="19050" t="0" r="9525" b="0"/>
          <wp:docPr id="4" name="Picture 2" descr="Corre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LOGO"/>
                  <pic:cNvPicPr>
                    <a:picLocks noChangeAspect="1" noChangeArrowheads="1"/>
                  </pic:cNvPicPr>
                </pic:nvPicPr>
                <pic:blipFill>
                  <a:blip r:embed="rId1" cstate="print"/>
                  <a:srcRect/>
                  <a:stretch>
                    <a:fillRect/>
                  </a:stretch>
                </pic:blipFill>
                <pic:spPr bwMode="auto">
                  <a:xfrm>
                    <a:off x="0" y="0"/>
                    <a:ext cx="2162175" cy="77152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1240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124075" cy="67627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324100" cy="600075"/>
          <wp:effectExtent l="19050" t="0" r="0" b="0"/>
          <wp:docPr id="6" name="Picture 11" descr="top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p 7.jpg"/>
                  <pic:cNvPicPr>
                    <a:picLocks noChangeAspect="1" noChangeArrowheads="1"/>
                  </pic:cNvPicPr>
                </pic:nvPicPr>
                <pic:blipFill>
                  <a:blip r:embed="rId3" cstate="print"/>
                  <a:srcRect/>
                  <a:stretch>
                    <a:fillRect/>
                  </a:stretch>
                </pic:blipFill>
                <pic:spPr bwMode="auto">
                  <a:xfrm>
                    <a:off x="0" y="0"/>
                    <a:ext cx="2324100" cy="6000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0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54BB1"/>
    <w:rsid w:val="00026014"/>
    <w:rsid w:val="000A346C"/>
    <w:rsid w:val="000A5CE8"/>
    <w:rsid w:val="000C27C2"/>
    <w:rsid w:val="000F6EDC"/>
    <w:rsid w:val="00104892"/>
    <w:rsid w:val="0012629B"/>
    <w:rsid w:val="0014110B"/>
    <w:rsid w:val="00184712"/>
    <w:rsid w:val="001E4052"/>
    <w:rsid w:val="00280844"/>
    <w:rsid w:val="00384BEE"/>
    <w:rsid w:val="003B0BDF"/>
    <w:rsid w:val="003C1263"/>
    <w:rsid w:val="003D2C89"/>
    <w:rsid w:val="004246DB"/>
    <w:rsid w:val="00435A38"/>
    <w:rsid w:val="00451BA1"/>
    <w:rsid w:val="00454BB1"/>
    <w:rsid w:val="00482F59"/>
    <w:rsid w:val="00560FC5"/>
    <w:rsid w:val="00570C0F"/>
    <w:rsid w:val="005A53F9"/>
    <w:rsid w:val="005E1A21"/>
    <w:rsid w:val="005F396D"/>
    <w:rsid w:val="00662636"/>
    <w:rsid w:val="00680206"/>
    <w:rsid w:val="0069663D"/>
    <w:rsid w:val="006A6E68"/>
    <w:rsid w:val="006C21FF"/>
    <w:rsid w:val="006C3022"/>
    <w:rsid w:val="00756B58"/>
    <w:rsid w:val="007746EC"/>
    <w:rsid w:val="0078551F"/>
    <w:rsid w:val="007B66FB"/>
    <w:rsid w:val="008118BF"/>
    <w:rsid w:val="00855F84"/>
    <w:rsid w:val="008B63E5"/>
    <w:rsid w:val="008C38FE"/>
    <w:rsid w:val="00925C17"/>
    <w:rsid w:val="00946625"/>
    <w:rsid w:val="00950B0E"/>
    <w:rsid w:val="009F4B73"/>
    <w:rsid w:val="00A31FFD"/>
    <w:rsid w:val="00A700CF"/>
    <w:rsid w:val="00B12C09"/>
    <w:rsid w:val="00B63885"/>
    <w:rsid w:val="00B72457"/>
    <w:rsid w:val="00BD3888"/>
    <w:rsid w:val="00C17D4A"/>
    <w:rsid w:val="00C9312D"/>
    <w:rsid w:val="00C94F75"/>
    <w:rsid w:val="00CA46F5"/>
    <w:rsid w:val="00CC5AD1"/>
    <w:rsid w:val="00CD2455"/>
    <w:rsid w:val="00CD39B4"/>
    <w:rsid w:val="00D04DFB"/>
    <w:rsid w:val="00D05FA7"/>
    <w:rsid w:val="00D07179"/>
    <w:rsid w:val="00D177BD"/>
    <w:rsid w:val="00E03479"/>
    <w:rsid w:val="00E4336B"/>
    <w:rsid w:val="00E857F8"/>
    <w:rsid w:val="00EB6C11"/>
    <w:rsid w:val="00EC2FEE"/>
    <w:rsid w:val="00EF73C6"/>
    <w:rsid w:val="00F37AF9"/>
    <w:rsid w:val="00F37D2D"/>
    <w:rsid w:val="00F60399"/>
    <w:rsid w:val="00F76452"/>
    <w:rsid w:val="00FA71CD"/>
    <w:rsid w:val="00FB36A2"/>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47768699">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ZA"/>
  <c:chart>
    <c:autoTitleDeleted val="1"/>
    <c:plotArea>
      <c:layout/>
      <c:lineChart>
        <c:grouping val="standard"/>
        <c:ser>
          <c:idx val="0"/>
          <c:order val="0"/>
          <c:tx>
            <c:strRef>
              <c:f>'Sea adjusted indices'!$AQ$4</c:f>
              <c:strCache>
                <c:ptCount val="1"/>
                <c:pt idx="0">
                  <c:v>Total KZN Investment</c:v>
                </c:pt>
              </c:strCache>
            </c:strRef>
          </c:tx>
          <c:spPr>
            <a:ln w="53975"/>
          </c:spPr>
          <c:marker>
            <c:symbol val="none"/>
          </c:marker>
          <c:cat>
            <c:numRef>
              <c:f>'Sea adjusted indices'!$A$55:$A$127</c:f>
              <c:numCache>
                <c:formatCode>mmm\-yy</c:formatCode>
                <c:ptCount val="73"/>
                <c:pt idx="0">
                  <c:v>38777</c:v>
                </c:pt>
                <c:pt idx="1">
                  <c:v>38808</c:v>
                </c:pt>
                <c:pt idx="2">
                  <c:v>38838</c:v>
                </c:pt>
                <c:pt idx="3">
                  <c:v>38869</c:v>
                </c:pt>
                <c:pt idx="4">
                  <c:v>38899</c:v>
                </c:pt>
                <c:pt idx="5">
                  <c:v>38930</c:v>
                </c:pt>
                <c:pt idx="6">
                  <c:v>38961</c:v>
                </c:pt>
                <c:pt idx="7">
                  <c:v>38991</c:v>
                </c:pt>
                <c:pt idx="8">
                  <c:v>39022</c:v>
                </c:pt>
                <c:pt idx="9">
                  <c:v>39052</c:v>
                </c:pt>
                <c:pt idx="10">
                  <c:v>39083</c:v>
                </c:pt>
                <c:pt idx="11">
                  <c:v>39114</c:v>
                </c:pt>
                <c:pt idx="12">
                  <c:v>39142</c:v>
                </c:pt>
                <c:pt idx="13">
                  <c:v>39173</c:v>
                </c:pt>
                <c:pt idx="14">
                  <c:v>39203</c:v>
                </c:pt>
                <c:pt idx="15">
                  <c:v>39234</c:v>
                </c:pt>
                <c:pt idx="16">
                  <c:v>39264</c:v>
                </c:pt>
                <c:pt idx="17">
                  <c:v>39295</c:v>
                </c:pt>
                <c:pt idx="18">
                  <c:v>39326</c:v>
                </c:pt>
                <c:pt idx="19">
                  <c:v>39356</c:v>
                </c:pt>
                <c:pt idx="20">
                  <c:v>39387</c:v>
                </c:pt>
                <c:pt idx="21">
                  <c:v>39417</c:v>
                </c:pt>
                <c:pt idx="22">
                  <c:v>39448</c:v>
                </c:pt>
                <c:pt idx="23">
                  <c:v>39479</c:v>
                </c:pt>
                <c:pt idx="24">
                  <c:v>39508</c:v>
                </c:pt>
                <c:pt idx="25">
                  <c:v>39539</c:v>
                </c:pt>
                <c:pt idx="26">
                  <c:v>39569</c:v>
                </c:pt>
                <c:pt idx="27">
                  <c:v>39600</c:v>
                </c:pt>
                <c:pt idx="28">
                  <c:v>39630</c:v>
                </c:pt>
                <c:pt idx="29">
                  <c:v>39661</c:v>
                </c:pt>
                <c:pt idx="30">
                  <c:v>39692</c:v>
                </c:pt>
                <c:pt idx="31">
                  <c:v>39722</c:v>
                </c:pt>
                <c:pt idx="32">
                  <c:v>39753</c:v>
                </c:pt>
                <c:pt idx="33">
                  <c:v>39783</c:v>
                </c:pt>
                <c:pt idx="34">
                  <c:v>39814</c:v>
                </c:pt>
                <c:pt idx="35">
                  <c:v>39845</c:v>
                </c:pt>
                <c:pt idx="36">
                  <c:v>39873</c:v>
                </c:pt>
                <c:pt idx="37">
                  <c:v>39904</c:v>
                </c:pt>
                <c:pt idx="38">
                  <c:v>39934</c:v>
                </c:pt>
                <c:pt idx="39">
                  <c:v>39965</c:v>
                </c:pt>
                <c:pt idx="40">
                  <c:v>39995</c:v>
                </c:pt>
                <c:pt idx="41">
                  <c:v>40026</c:v>
                </c:pt>
                <c:pt idx="42">
                  <c:v>40057</c:v>
                </c:pt>
                <c:pt idx="43">
                  <c:v>40087</c:v>
                </c:pt>
                <c:pt idx="44">
                  <c:v>40118</c:v>
                </c:pt>
                <c:pt idx="45">
                  <c:v>40148</c:v>
                </c:pt>
                <c:pt idx="46">
                  <c:v>40179</c:v>
                </c:pt>
                <c:pt idx="47">
                  <c:v>40210</c:v>
                </c:pt>
                <c:pt idx="48">
                  <c:v>40238</c:v>
                </c:pt>
                <c:pt idx="49">
                  <c:v>40269</c:v>
                </c:pt>
                <c:pt idx="50">
                  <c:v>40299</c:v>
                </c:pt>
                <c:pt idx="51">
                  <c:v>40330</c:v>
                </c:pt>
                <c:pt idx="52">
                  <c:v>40360</c:v>
                </c:pt>
                <c:pt idx="53">
                  <c:v>40391</c:v>
                </c:pt>
                <c:pt idx="54">
                  <c:v>40422</c:v>
                </c:pt>
                <c:pt idx="55">
                  <c:v>40452</c:v>
                </c:pt>
                <c:pt idx="56">
                  <c:v>40483</c:v>
                </c:pt>
                <c:pt idx="57">
                  <c:v>40513</c:v>
                </c:pt>
                <c:pt idx="58">
                  <c:v>40544</c:v>
                </c:pt>
                <c:pt idx="59">
                  <c:v>40575</c:v>
                </c:pt>
                <c:pt idx="60">
                  <c:v>40603</c:v>
                </c:pt>
                <c:pt idx="61">
                  <c:v>40634</c:v>
                </c:pt>
                <c:pt idx="62">
                  <c:v>40664</c:v>
                </c:pt>
                <c:pt idx="63">
                  <c:v>40695</c:v>
                </c:pt>
                <c:pt idx="64">
                  <c:v>40725</c:v>
                </c:pt>
                <c:pt idx="65">
                  <c:v>40756</c:v>
                </c:pt>
                <c:pt idx="66">
                  <c:v>40787</c:v>
                </c:pt>
                <c:pt idx="67">
                  <c:v>40817</c:v>
                </c:pt>
                <c:pt idx="68">
                  <c:v>40848</c:v>
                </c:pt>
                <c:pt idx="69">
                  <c:v>40878</c:v>
                </c:pt>
                <c:pt idx="70">
                  <c:v>40909</c:v>
                </c:pt>
                <c:pt idx="71">
                  <c:v>40940</c:v>
                </c:pt>
                <c:pt idx="72">
                  <c:v>40969</c:v>
                </c:pt>
              </c:numCache>
            </c:numRef>
          </c:cat>
          <c:val>
            <c:numRef>
              <c:f>'Sea adjusted indices'!$AQ$55:$AQ$127</c:f>
              <c:numCache>
                <c:formatCode>0.0</c:formatCode>
                <c:ptCount val="73"/>
                <c:pt idx="0">
                  <c:v>102.11029391529641</c:v>
                </c:pt>
                <c:pt idx="1">
                  <c:v>100.32710092410532</c:v>
                </c:pt>
                <c:pt idx="2">
                  <c:v>103.68351538442798</c:v>
                </c:pt>
                <c:pt idx="3">
                  <c:v>107.57839891808335</c:v>
                </c:pt>
                <c:pt idx="4">
                  <c:v>112.14840711662238</c:v>
                </c:pt>
                <c:pt idx="5">
                  <c:v>115.93548244929134</c:v>
                </c:pt>
                <c:pt idx="6">
                  <c:v>114.74187045812349</c:v>
                </c:pt>
                <c:pt idx="7">
                  <c:v>118.76798467748863</c:v>
                </c:pt>
                <c:pt idx="8">
                  <c:v>119.33227385838295</c:v>
                </c:pt>
                <c:pt idx="9">
                  <c:v>121.22153956200563</c:v>
                </c:pt>
                <c:pt idx="10">
                  <c:v>124.10411414611967</c:v>
                </c:pt>
                <c:pt idx="11">
                  <c:v>125.71189724503232</c:v>
                </c:pt>
                <c:pt idx="12">
                  <c:v>126.3670301140198</c:v>
                </c:pt>
                <c:pt idx="13">
                  <c:v>124.39252902762836</c:v>
                </c:pt>
                <c:pt idx="14">
                  <c:v>125.86671448074584</c:v>
                </c:pt>
                <c:pt idx="15">
                  <c:v>124.65385452817002</c:v>
                </c:pt>
                <c:pt idx="16">
                  <c:v>126.94429939492802</c:v>
                </c:pt>
                <c:pt idx="17">
                  <c:v>126.58395683828854</c:v>
                </c:pt>
                <c:pt idx="18">
                  <c:v>125.63406791243406</c:v>
                </c:pt>
                <c:pt idx="19">
                  <c:v>124.25152092908634</c:v>
                </c:pt>
                <c:pt idx="20">
                  <c:v>119.54489798245287</c:v>
                </c:pt>
                <c:pt idx="21">
                  <c:v>119.26979789091861</c:v>
                </c:pt>
                <c:pt idx="22">
                  <c:v>120.4369264553425</c:v>
                </c:pt>
                <c:pt idx="23">
                  <c:v>128.60731538395805</c:v>
                </c:pt>
                <c:pt idx="24">
                  <c:v>133.13727974604285</c:v>
                </c:pt>
                <c:pt idx="25">
                  <c:v>139.37431344482616</c:v>
                </c:pt>
                <c:pt idx="26">
                  <c:v>134.1369920997019</c:v>
                </c:pt>
                <c:pt idx="27">
                  <c:v>134.25676734745517</c:v>
                </c:pt>
                <c:pt idx="28">
                  <c:v>130.25687352366896</c:v>
                </c:pt>
                <c:pt idx="29">
                  <c:v>128.89717951963561</c:v>
                </c:pt>
                <c:pt idx="30">
                  <c:v>126.92577305984459</c:v>
                </c:pt>
                <c:pt idx="31">
                  <c:v>126.6020264137763</c:v>
                </c:pt>
                <c:pt idx="32">
                  <c:v>128.18075071399872</c:v>
                </c:pt>
                <c:pt idx="33">
                  <c:v>127.49948149699603</c:v>
                </c:pt>
                <c:pt idx="34">
                  <c:v>126.21702805530776</c:v>
                </c:pt>
                <c:pt idx="35">
                  <c:v>117.50465557331235</c:v>
                </c:pt>
                <c:pt idx="36">
                  <c:v>112.51670124248849</c:v>
                </c:pt>
                <c:pt idx="37">
                  <c:v>107.25914903842947</c:v>
                </c:pt>
                <c:pt idx="38">
                  <c:v>104.3594200055778</c:v>
                </c:pt>
                <c:pt idx="39">
                  <c:v>99.417663847553527</c:v>
                </c:pt>
                <c:pt idx="40">
                  <c:v>97.723093624422347</c:v>
                </c:pt>
                <c:pt idx="41">
                  <c:v>95.660942954819177</c:v>
                </c:pt>
                <c:pt idx="42">
                  <c:v>93.439389699401445</c:v>
                </c:pt>
                <c:pt idx="43">
                  <c:v>94.533242023311104</c:v>
                </c:pt>
                <c:pt idx="44">
                  <c:v>95.94451205420529</c:v>
                </c:pt>
                <c:pt idx="45">
                  <c:v>95.74646989310456</c:v>
                </c:pt>
                <c:pt idx="46">
                  <c:v>99.485457663891893</c:v>
                </c:pt>
                <c:pt idx="47">
                  <c:v>98.678161226157172</c:v>
                </c:pt>
                <c:pt idx="48">
                  <c:v>99.508650799524759</c:v>
                </c:pt>
                <c:pt idx="49">
                  <c:v>95.928812091336738</c:v>
                </c:pt>
                <c:pt idx="50">
                  <c:v>100.44173961652251</c:v>
                </c:pt>
                <c:pt idx="51">
                  <c:v>99.670154156062466</c:v>
                </c:pt>
                <c:pt idx="52">
                  <c:v>99.905446526394726</c:v>
                </c:pt>
                <c:pt idx="53">
                  <c:v>101.8885228636377</c:v>
                </c:pt>
                <c:pt idx="54">
                  <c:v>105.14427106070136</c:v>
                </c:pt>
                <c:pt idx="55">
                  <c:v>106.96116769167934</c:v>
                </c:pt>
                <c:pt idx="56">
                  <c:v>103.39329060913055</c:v>
                </c:pt>
                <c:pt idx="57">
                  <c:v>104.76774529366566</c:v>
                </c:pt>
                <c:pt idx="58">
                  <c:v>108.25317239555962</c:v>
                </c:pt>
                <c:pt idx="59">
                  <c:v>111.17228770773524</c:v>
                </c:pt>
                <c:pt idx="60">
                  <c:v>117.13312713567385</c:v>
                </c:pt>
                <c:pt idx="61">
                  <c:v>113.33177457801968</c:v>
                </c:pt>
                <c:pt idx="62">
                  <c:v>113.40565266509088</c:v>
                </c:pt>
                <c:pt idx="63">
                  <c:v>108.36432262026541</c:v>
                </c:pt>
                <c:pt idx="64">
                  <c:v>109.96775265106803</c:v>
                </c:pt>
                <c:pt idx="65">
                  <c:v>111.43119331734012</c:v>
                </c:pt>
                <c:pt idx="66">
                  <c:v>119.37509640601219</c:v>
                </c:pt>
                <c:pt idx="67">
                  <c:v>121.43686158937473</c:v>
                </c:pt>
                <c:pt idx="68">
                  <c:v>125.81854139817121</c:v>
                </c:pt>
                <c:pt idx="69">
                  <c:v>125.06269284152108</c:v>
                </c:pt>
                <c:pt idx="70">
                  <c:v>135.21325285371555</c:v>
                </c:pt>
                <c:pt idx="71">
                  <c:v>132.63290387244516</c:v>
                </c:pt>
                <c:pt idx="72">
                  <c:v>130.31777075625496</c:v>
                </c:pt>
              </c:numCache>
            </c:numRef>
          </c:val>
        </c:ser>
        <c:marker val="1"/>
        <c:axId val="122729600"/>
        <c:axId val="23765376"/>
      </c:lineChart>
      <c:dateAx>
        <c:axId val="122729600"/>
        <c:scaling>
          <c:orientation val="minMax"/>
        </c:scaling>
        <c:axPos val="b"/>
        <c:numFmt formatCode="mmm\-yy" sourceLinked="1"/>
        <c:tickLblPos val="nextTo"/>
        <c:txPr>
          <a:bodyPr/>
          <a:lstStyle/>
          <a:p>
            <a:pPr>
              <a:defRPr sz="1200" b="1"/>
            </a:pPr>
            <a:endParaRPr lang="en-US"/>
          </a:p>
        </c:txPr>
        <c:crossAx val="23765376"/>
        <c:crosses val="autoZero"/>
        <c:auto val="1"/>
        <c:lblOffset val="100"/>
        <c:baseTimeUnit val="months"/>
      </c:dateAx>
      <c:valAx>
        <c:axId val="23765376"/>
        <c:scaling>
          <c:orientation val="minMax"/>
          <c:max val="140"/>
          <c:min val="90"/>
        </c:scaling>
        <c:axPos val="l"/>
        <c:majorGridlines/>
        <c:numFmt formatCode="0" sourceLinked="0"/>
        <c:tickLblPos val="nextTo"/>
        <c:txPr>
          <a:bodyPr/>
          <a:lstStyle/>
          <a:p>
            <a:pPr>
              <a:defRPr sz="1200" b="1"/>
            </a:pPr>
            <a:endParaRPr lang="en-US"/>
          </a:p>
        </c:txPr>
        <c:crossAx val="122729600"/>
        <c:crosses val="autoZero"/>
        <c:crossBetween val="between"/>
      </c:valAx>
      <c:spPr>
        <a:noFill/>
      </c:spPr>
    </c:plotArea>
    <c:legend>
      <c:legendPos val="t"/>
      <c:layout>
        <c:manualLayout>
          <c:xMode val="edge"/>
          <c:yMode val="edge"/>
          <c:x val="0.57098292567193087"/>
          <c:y val="0.11158756300810564"/>
          <c:w val="0.29709391120255585"/>
          <c:h val="9.1726721952675047E-2"/>
        </c:manualLayout>
      </c:layout>
      <c:overlay val="1"/>
      <c:txPr>
        <a:bodyPr/>
        <a:lstStyle/>
        <a:p>
          <a:pPr>
            <a:defRPr sz="1800" b="1"/>
          </a:pPr>
          <a:endParaRPr lang="en-U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8081CE-7278-4DE2-A0CF-EB6B16F24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741</Words>
  <Characters>4230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4962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2012-06-08T22:58:00Z</dcterms:created>
  <dcterms:modified xsi:type="dcterms:W3CDTF">2012-06-08T22:58:00Z</dcterms:modified>
</cp:coreProperties>
</file>