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KwaZulu-</w:t>
      </w:r>
      <w:r w:rsidR="0097654D" w:rsidRPr="00454BB1">
        <w:rPr>
          <w:rFonts w:ascii="Arial" w:hAnsi="Arial"/>
          <w:b/>
          <w:sz w:val="28"/>
          <w:szCs w:val="28"/>
        </w:rPr>
        <w:t xml:space="preserve">Natal </w:t>
      </w:r>
      <w:r w:rsidR="0097654D">
        <w:rPr>
          <w:rFonts w:ascii="Arial" w:hAnsi="Arial"/>
          <w:b/>
          <w:sz w:val="28"/>
          <w:szCs w:val="28"/>
        </w:rPr>
        <w:t>Barometer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ED1568" w:rsidP="00454BB1">
      <w:pPr>
        <w:jc w:val="center"/>
        <w:rPr>
          <w:rFonts w:ascii="Arial" w:hAnsi="Arial"/>
          <w:b/>
        </w:rPr>
      </w:pPr>
      <w:r>
        <w:rPr>
          <w:rFonts w:ascii="Arial" w:hAnsi="Arial"/>
          <w:b/>
        </w:rPr>
        <w:t>June</w:t>
      </w:r>
      <w:r w:rsidR="00C9312D">
        <w:rPr>
          <w:rFonts w:ascii="Arial" w:hAnsi="Arial"/>
          <w:b/>
        </w:rPr>
        <w:t xml:space="preserve"> 2012</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7"/>
          <w:footerReference w:type="default" r:id="rId8"/>
          <w:pgSz w:w="12240" w:h="15840"/>
          <w:pgMar w:top="3649" w:right="474" w:bottom="1440" w:left="426" w:header="2127" w:footer="2836" w:gutter="0"/>
          <w:cols w:space="708"/>
          <w:docGrid w:linePitch="360"/>
        </w:sectPr>
      </w:pPr>
      <w:r>
        <w:rPr>
          <w:rFonts w:ascii="Arial" w:hAnsi="Arial"/>
        </w:rPr>
        <w:br w:type="page"/>
      </w:r>
    </w:p>
    <w:p w:rsidR="00ED1568" w:rsidRPr="00ED1568" w:rsidRDefault="0097654D" w:rsidP="00ED1568">
      <w:pPr>
        <w:rPr>
          <w:rFonts w:ascii="Arial" w:hAnsi="Arial"/>
          <w:b/>
          <w:sz w:val="32"/>
          <w:szCs w:val="32"/>
          <w:lang w:val="en-GB"/>
        </w:rPr>
      </w:pPr>
      <w:r>
        <w:rPr>
          <w:rFonts w:ascii="Arial" w:hAnsi="Arial"/>
          <w:b/>
          <w:sz w:val="32"/>
          <w:szCs w:val="32"/>
          <w:lang w:val="en-GB"/>
        </w:rPr>
        <w:lastRenderedPageBreak/>
        <w:t xml:space="preserve">       </w:t>
      </w:r>
      <w:r w:rsidR="00ED1568" w:rsidRPr="00ED1568">
        <w:rPr>
          <w:rFonts w:ascii="Arial" w:hAnsi="Arial"/>
          <w:b/>
          <w:sz w:val="32"/>
          <w:szCs w:val="32"/>
          <w:lang w:val="en-GB"/>
        </w:rPr>
        <w:t>Global slowdown affecting KZN economy</w:t>
      </w:r>
    </w:p>
    <w:p w:rsidR="00077D41" w:rsidRDefault="00ED1568" w:rsidP="00ED1568">
      <w:pPr>
        <w:rPr>
          <w:rFonts w:ascii="Arial" w:hAnsi="Arial"/>
          <w:szCs w:val="20"/>
        </w:rPr>
      </w:pPr>
      <w:r>
        <w:rPr>
          <w:noProof/>
          <w:lang w:val="en-ZA" w:eastAsia="en-ZA"/>
        </w:rPr>
        <w:drawing>
          <wp:inline distT="0" distB="0" distL="0" distR="0">
            <wp:extent cx="6507480" cy="39243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D1568" w:rsidRDefault="00ED1568" w:rsidP="00ED1568">
      <w:pPr>
        <w:rPr>
          <w:rFonts w:ascii="Arial" w:hAnsi="Arial"/>
          <w:szCs w:val="20"/>
        </w:rPr>
      </w:pP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 xml:space="preserve">The global economic slowdown is affecting economic growth in KwaZulu-Natal over the short term, but year-on-year the province’s growth index strengthened </w:t>
      </w:r>
      <w:r w:rsidRPr="00ED1568">
        <w:rPr>
          <w:rFonts w:ascii="Arial" w:hAnsi="Arial"/>
          <w:szCs w:val="20"/>
        </w:rPr>
        <w:t>by</w:t>
      </w:r>
      <w:r w:rsidRPr="00ED1568">
        <w:rPr>
          <w:rFonts w:ascii="Arial" w:hAnsi="Arial"/>
          <w:szCs w:val="20"/>
          <w:lang w:val="en-GB"/>
        </w:rPr>
        <w:t xml:space="preserve"> 4,1% in June, compared to 3,1% the month before. This was also reflected in the latest KwaZulu-Natal barometer, as compiled by Mike Schüssler of Economists.co.za. The barometer grew by 4,1% in June, its strongest growth in four months, but was negative on a month-on-month and quarter-on-quarter basis.</w:t>
      </w:r>
    </w:p>
    <w:p w:rsidR="00ED1568" w:rsidRPr="00ED1568" w:rsidRDefault="00ED1568" w:rsidP="00ED1568">
      <w:pPr>
        <w:spacing w:line="240" w:lineRule="auto"/>
        <w:rPr>
          <w:rFonts w:ascii="Arial" w:hAnsi="Arial"/>
          <w:szCs w:val="20"/>
          <w:lang w:val="en-GB"/>
        </w:rPr>
      </w:pPr>
    </w:p>
    <w:p w:rsidR="00ED1568" w:rsidRPr="00ED1568" w:rsidRDefault="00ED1568" w:rsidP="00ED1568">
      <w:pPr>
        <w:spacing w:line="240" w:lineRule="auto"/>
        <w:rPr>
          <w:rFonts w:ascii="Arial" w:hAnsi="Arial"/>
          <w:b/>
          <w:szCs w:val="20"/>
          <w:lang w:val="en-GB"/>
        </w:rPr>
      </w:pPr>
      <w:r w:rsidRPr="00ED1568">
        <w:rPr>
          <w:rFonts w:ascii="Arial" w:hAnsi="Arial"/>
          <w:b/>
          <w:szCs w:val="20"/>
          <w:lang w:val="en-GB"/>
        </w:rPr>
        <w:t>Agriculture on the road to recovery</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Despite the difficult economic conditions, agriculture in KwaZulu-Natal has been one of the big surprises in recent months and seems to be on its way to growth. The KwaZulu-Natal agriculture index was still down year-on-year, but the 2,4% decline was the smallest since last October. The index was only 0,4% down on the month before and turned positive with growth of 1,8% on a quarter-on-quarter basis.</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 xml:space="preserve">The improvement in agriculture is partly due to the fact that the sector is, to some extent immune to the normal business cycle, as people always need to buy food. However, the sector does have its own cycles, like the recent drought in the province which contributed to the earlier slowdowns.  </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Beef production, which constitutes 84% of KwaZulu-Natal’s meat production, was still down – by 7,8% year-on-year – but this was much better than the decline of more than 50% only four months earlier. Overall meat production declined by 10% year-on-year compared to 49,9% four months earlier.</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Production of field crops also performed strong and grew by 42,8% year-on-year.</w:t>
      </w:r>
    </w:p>
    <w:p w:rsidR="00ED1568" w:rsidRPr="00ED1568" w:rsidRDefault="00ED1568" w:rsidP="00ED1568">
      <w:pPr>
        <w:spacing w:line="240" w:lineRule="auto"/>
        <w:rPr>
          <w:rFonts w:ascii="Arial" w:hAnsi="Arial"/>
          <w:szCs w:val="20"/>
          <w:lang w:val="en-GB"/>
        </w:rPr>
      </w:pPr>
    </w:p>
    <w:p w:rsidR="00ED1568" w:rsidRPr="00ED1568" w:rsidRDefault="00ED1568" w:rsidP="00ED1568">
      <w:pPr>
        <w:spacing w:line="240" w:lineRule="auto"/>
        <w:rPr>
          <w:rFonts w:ascii="Arial" w:hAnsi="Arial"/>
          <w:b/>
          <w:szCs w:val="20"/>
          <w:lang w:val="en-GB"/>
        </w:rPr>
      </w:pPr>
      <w:r w:rsidRPr="00ED1568">
        <w:rPr>
          <w:rFonts w:ascii="Arial" w:hAnsi="Arial"/>
          <w:b/>
          <w:szCs w:val="20"/>
          <w:lang w:val="en-GB"/>
        </w:rPr>
        <w:t xml:space="preserve">Mining index boosted by coal production </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The KwaZulu-Natal mining index, which makes the smallest contribution to the KwaZulu-Natal barometer, increased by 1,2% year-on-year compared to last month’s decline of 0,1%. This is mainly thanks to a 6% increase in coal production, which makes up 72% of the province’s mining sector. There are, however, rumours in the market that some Chinese companies are not paying on time for coal shipments from South Africa, Australia and Indonesia. So although coal production is up, the money might not be flowing to KwaZulu-Natal very easily.</w:t>
      </w:r>
    </w:p>
    <w:p w:rsidR="00ED1568" w:rsidRPr="00ED1568" w:rsidRDefault="00ED1568" w:rsidP="00ED1568">
      <w:pPr>
        <w:spacing w:line="240" w:lineRule="auto"/>
        <w:rPr>
          <w:rFonts w:ascii="Arial" w:hAnsi="Arial"/>
          <w:szCs w:val="20"/>
          <w:lang w:val="en-GB"/>
        </w:rPr>
      </w:pPr>
    </w:p>
    <w:p w:rsidR="00ED1568" w:rsidRPr="00ED1568" w:rsidRDefault="00ED1568" w:rsidP="00ED1568">
      <w:pPr>
        <w:spacing w:line="240" w:lineRule="auto"/>
        <w:rPr>
          <w:rFonts w:ascii="Arial" w:hAnsi="Arial"/>
          <w:b/>
          <w:szCs w:val="20"/>
          <w:lang w:val="en-GB"/>
        </w:rPr>
      </w:pPr>
      <w:r w:rsidRPr="00ED1568">
        <w:rPr>
          <w:rFonts w:ascii="Arial" w:hAnsi="Arial"/>
          <w:b/>
          <w:szCs w:val="20"/>
          <w:lang w:val="en-GB"/>
        </w:rPr>
        <w:t>Electricity usage trend surprises</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Coal is also used domestically as the biggest source of electricity generation. Electricity usage usually pick up in the winter months, but the KwaZulu-Natal electricity index fell by 8,7% year-on-year, the biggest fall in a decade. The index was also down on a month-on-month and quarter-on-quarter basis. The big decrease in electricity usage might be due to Eskom requesting big factories, like the aluminium smelters in Richards Bay, cut back on electricity and by buying back some electricity. The increase in Eskom’s tariffs this year most likely also played a role in decreased usage.</w:t>
      </w:r>
    </w:p>
    <w:p w:rsidR="00ED1568" w:rsidRPr="00ED1568" w:rsidRDefault="00ED1568" w:rsidP="00ED1568">
      <w:pPr>
        <w:spacing w:line="240" w:lineRule="auto"/>
        <w:rPr>
          <w:rFonts w:ascii="Arial" w:hAnsi="Arial"/>
          <w:szCs w:val="20"/>
          <w:lang w:val="en-GB"/>
        </w:rPr>
      </w:pPr>
    </w:p>
    <w:p w:rsidR="00ED1568" w:rsidRPr="00ED1568" w:rsidRDefault="00ED1568" w:rsidP="00ED1568">
      <w:pPr>
        <w:spacing w:line="240" w:lineRule="auto"/>
        <w:rPr>
          <w:rFonts w:ascii="Arial" w:hAnsi="Arial"/>
          <w:b/>
          <w:szCs w:val="20"/>
          <w:lang w:val="en-GB"/>
        </w:rPr>
      </w:pPr>
      <w:r w:rsidRPr="00ED1568">
        <w:rPr>
          <w:rFonts w:ascii="Arial" w:hAnsi="Arial"/>
          <w:b/>
          <w:szCs w:val="20"/>
          <w:lang w:val="en-GB"/>
        </w:rPr>
        <w:t>Manufacturing slowing down</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The manufacturing sector is one of the big industrial users of electricity. The KwaZulu-Natal manufacturing index grew by only 0,7% year-on-year in March, its slowest growth in 10 months. The index fell due to a decline in the manufacturing of textile products and basic ferrous and non-ferrous metal products. This is due to the slowing business cycle. On the positive side, food manufacturing is making a comeback with 12% growth as agriculture is turning around. The manufacturing of vehicles, petroleum products and furniture also showed strong growth after some disappointing months. The manufacturing of wood and paper products was up 1% after declining by 1% the month before, which points to the wood market being weak at the moment.</w:t>
      </w:r>
    </w:p>
    <w:p w:rsidR="00ED1568" w:rsidRPr="00ED1568" w:rsidRDefault="00ED1568" w:rsidP="00ED1568">
      <w:pPr>
        <w:spacing w:line="240" w:lineRule="auto"/>
        <w:rPr>
          <w:rFonts w:ascii="Arial" w:hAnsi="Arial"/>
          <w:szCs w:val="20"/>
          <w:lang w:val="en-GB"/>
        </w:rPr>
      </w:pPr>
    </w:p>
    <w:p w:rsidR="00ED1568" w:rsidRPr="00ED1568" w:rsidRDefault="00ED1568" w:rsidP="00ED1568">
      <w:pPr>
        <w:spacing w:line="240" w:lineRule="auto"/>
        <w:rPr>
          <w:rFonts w:ascii="Arial" w:hAnsi="Arial"/>
          <w:szCs w:val="20"/>
          <w:lang w:val="en-GB"/>
        </w:rPr>
      </w:pPr>
      <w:r w:rsidRPr="00ED1568">
        <w:rPr>
          <w:rFonts w:ascii="Arial" w:hAnsi="Arial"/>
          <w:b/>
          <w:szCs w:val="20"/>
          <w:lang w:val="en-GB"/>
        </w:rPr>
        <w:t>Short-term gains for construction</w:t>
      </w:r>
      <w:r w:rsidRPr="00ED1568">
        <w:rPr>
          <w:rFonts w:ascii="Arial" w:hAnsi="Arial"/>
          <w:szCs w:val="20"/>
          <w:lang w:val="en-GB"/>
        </w:rPr>
        <w:t xml:space="preserve"> </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The KwaZulu-Natal construction index is performing surprisingly well short term and grew by 6,9% month-on-month and 6,5% quarter-on-quarter. However, on a year-on-year basis, the index was still down by 10,8% as the building industry, which has been very volatile, was down 22,3%. The building of big and small houses is making a comeback, but the only commercial buildings category that seems to be growing, is industrial and warehouse space. Lumber sales were the only clear positive in the KwaZulu-Natal construction industry and grew by 14,4% year-on-year, the third consecutive month of double-digit growth.</w:t>
      </w:r>
    </w:p>
    <w:p w:rsidR="00ED1568" w:rsidRPr="00ED1568" w:rsidRDefault="00ED1568" w:rsidP="00ED1568">
      <w:pPr>
        <w:spacing w:line="240" w:lineRule="auto"/>
        <w:rPr>
          <w:rFonts w:ascii="Arial" w:hAnsi="Arial"/>
          <w:szCs w:val="20"/>
          <w:lang w:val="en-GB"/>
        </w:rPr>
      </w:pPr>
    </w:p>
    <w:p w:rsidR="00ED1568" w:rsidRPr="00ED1568" w:rsidRDefault="00ED1568" w:rsidP="00ED1568">
      <w:pPr>
        <w:spacing w:line="240" w:lineRule="auto"/>
        <w:rPr>
          <w:rFonts w:ascii="Arial" w:hAnsi="Arial"/>
          <w:b/>
          <w:szCs w:val="20"/>
          <w:lang w:val="en-GB"/>
        </w:rPr>
      </w:pPr>
      <w:r w:rsidRPr="00ED1568">
        <w:rPr>
          <w:rFonts w:ascii="Arial" w:hAnsi="Arial"/>
          <w:b/>
          <w:szCs w:val="20"/>
          <w:lang w:val="en-GB"/>
        </w:rPr>
        <w:t>Trade index on the up</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The growth in lumber sales also reflected in the sales of hardware stores, which forms part of retail sales, and is shown in the KwaZulu-Natal trade index. The trade index grew by 6,7% year-on-year. Retail sales were up 3,1% and the biggest growth in retail goods was the 18,2% growth in hardware and glass sales. The growth in hardware sales also show that people are upgrading or adding to their existing houses instead of buying or building new houses. However, these building projects do not always go through the formal channels to be reflected in building statistics.</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Vehicle sales were still booming with year-on-year growth of 15,3% and petrol sales increased by 2,1% as the petrol price came down.</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Wholesale sales grew by a hearty 12,5% thanks to strong retail and vehicle sales.</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The one negative in the trade index was the 4,2% decline in the business of hotels and restaurants as consumers seem to be cutting down on some luxuries.</w:t>
      </w:r>
    </w:p>
    <w:p w:rsidR="00ED1568" w:rsidRPr="00ED1568" w:rsidRDefault="00ED1568" w:rsidP="00ED1568">
      <w:pPr>
        <w:spacing w:line="240" w:lineRule="auto"/>
        <w:rPr>
          <w:rFonts w:ascii="Arial" w:hAnsi="Arial"/>
          <w:szCs w:val="20"/>
          <w:lang w:val="en-GB"/>
        </w:rPr>
      </w:pPr>
    </w:p>
    <w:p w:rsidR="00ED1568" w:rsidRPr="00ED1568" w:rsidRDefault="00ED1568" w:rsidP="00ED1568">
      <w:pPr>
        <w:spacing w:line="240" w:lineRule="auto"/>
        <w:rPr>
          <w:rFonts w:ascii="Arial" w:hAnsi="Arial"/>
          <w:b/>
          <w:szCs w:val="20"/>
          <w:lang w:val="en-GB"/>
        </w:rPr>
      </w:pPr>
      <w:r w:rsidRPr="00ED1568">
        <w:rPr>
          <w:rFonts w:ascii="Arial" w:hAnsi="Arial"/>
          <w:b/>
          <w:szCs w:val="20"/>
          <w:lang w:val="en-GB"/>
        </w:rPr>
        <w:t>Impressive growth seen in Transport and Communication Index</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The KwaZulu-Natal transport and communications index grew by 12,8% year-on-year, the strongest growth in more than a year. This was once again driven by communications, which grew by 21% as cell phone minutes used increased by 10,1% countrywide and page impressions on local browsers grew by more than 50%.</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Port activity also contributed to the growth in the transport and communications index. The volume of cargo handled at the ports of Durban and Richards Bay increased by 8,6% year-on-year, which shows there is still substantial growth in imports. This also reflected in the 3,3% growth in land transport volumes in KwaZulu-Natal.</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Airport arrivals at King Shaka International Airport were 4,2% lower than a year ago as people cut back on luxury travel costs. This was somewhat disappointing given how well the airport did when it was completed and opened two years ago.</w:t>
      </w:r>
    </w:p>
    <w:p w:rsidR="00ED1568" w:rsidRPr="00ED1568" w:rsidRDefault="00ED1568" w:rsidP="00ED1568">
      <w:pPr>
        <w:spacing w:line="240" w:lineRule="auto"/>
        <w:rPr>
          <w:rFonts w:ascii="Arial" w:hAnsi="Arial"/>
          <w:szCs w:val="20"/>
          <w:lang w:val="en-GB"/>
        </w:rPr>
      </w:pPr>
    </w:p>
    <w:p w:rsidR="00ED1568" w:rsidRPr="00ED1568" w:rsidRDefault="00ED1568" w:rsidP="00ED1568">
      <w:pPr>
        <w:spacing w:line="240" w:lineRule="auto"/>
        <w:rPr>
          <w:rFonts w:ascii="Arial" w:hAnsi="Arial"/>
          <w:b/>
          <w:szCs w:val="20"/>
          <w:lang w:val="en-GB"/>
        </w:rPr>
      </w:pPr>
      <w:r w:rsidRPr="00ED1568">
        <w:rPr>
          <w:rFonts w:ascii="Arial" w:hAnsi="Arial"/>
          <w:b/>
          <w:szCs w:val="20"/>
          <w:lang w:val="en-GB"/>
        </w:rPr>
        <w:t>Finance, real estate and business services disappoints</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The finance, real estate and business services sector was negative for the eighth consecutive month. The 4,7% year-on-year decline was due to another double-digit decline in advertising and a 27,1% decline in civil debt judgements, which is bad for the business of lawyers. However, the latter is positive for economic stress levels.</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Property transfers were up 2,7% after three negative months and mortgages grew by 2,8%.</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 xml:space="preserve">The slight improvement in the property market was brought about by house prices adjusting downwards without people’s salaries adjusting accordingly, making property slightly more affordable. Activity in the property market is </w:t>
      </w:r>
      <w:r w:rsidRPr="00ED1568">
        <w:rPr>
          <w:rFonts w:ascii="Arial" w:hAnsi="Arial"/>
          <w:szCs w:val="20"/>
          <w:lang w:val="en-GB"/>
        </w:rPr>
        <w:lastRenderedPageBreak/>
        <w:t>still at only half the levels it was seven years ago and the property market will have to make more of a comeback before construction will really improve. The market will grow in single digits for some time, but with the lower interest rates and other supporting factors it should make a real comeback.</w:t>
      </w:r>
    </w:p>
    <w:p w:rsidR="00ED1568" w:rsidRPr="00ED1568" w:rsidRDefault="00ED1568" w:rsidP="00ED1568">
      <w:pPr>
        <w:spacing w:line="240" w:lineRule="auto"/>
        <w:rPr>
          <w:rFonts w:ascii="Arial" w:hAnsi="Arial"/>
          <w:szCs w:val="20"/>
          <w:lang w:val="en-GB"/>
        </w:rPr>
      </w:pPr>
    </w:p>
    <w:p w:rsidR="00ED1568" w:rsidRPr="00ED1568" w:rsidRDefault="00ED1568" w:rsidP="00ED1568">
      <w:pPr>
        <w:spacing w:line="240" w:lineRule="auto"/>
        <w:rPr>
          <w:rFonts w:ascii="Arial" w:hAnsi="Arial"/>
          <w:b/>
          <w:szCs w:val="20"/>
          <w:lang w:val="en-GB"/>
        </w:rPr>
      </w:pPr>
      <w:r w:rsidRPr="00ED1568">
        <w:rPr>
          <w:rFonts w:ascii="Arial" w:hAnsi="Arial"/>
          <w:b/>
          <w:szCs w:val="20"/>
          <w:lang w:val="en-GB"/>
        </w:rPr>
        <w:t>Stress index shows improvement</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The recent cut in the prime lending rate by the Reserve Bank is not reflected in the KwaZulu-Natal stress index yet, but should help to lower the economic stress in the province in coming months. The stress index was neutral after it increased slightly for two months. The improvement in the index was driven by a drop in the KwaZulu-Natal unemployment rate, from 20,3% last June to 19,8% this June, and a drop in the province’s inflation rate to 5,8%.</w:t>
      </w:r>
    </w:p>
    <w:p w:rsidR="00ED1568" w:rsidRPr="00ED1568" w:rsidRDefault="00ED1568" w:rsidP="00ED1568">
      <w:pPr>
        <w:spacing w:line="240" w:lineRule="auto"/>
        <w:rPr>
          <w:rFonts w:ascii="Arial" w:hAnsi="Arial"/>
          <w:szCs w:val="20"/>
          <w:lang w:val="en-GB"/>
        </w:rPr>
      </w:pPr>
    </w:p>
    <w:p w:rsidR="00ED1568" w:rsidRPr="00ED1568" w:rsidRDefault="00ED1568" w:rsidP="00ED1568">
      <w:pPr>
        <w:spacing w:line="240" w:lineRule="auto"/>
        <w:rPr>
          <w:rFonts w:ascii="Arial" w:hAnsi="Arial"/>
          <w:b/>
          <w:szCs w:val="20"/>
          <w:lang w:val="en-GB"/>
        </w:rPr>
      </w:pPr>
      <w:r w:rsidRPr="00ED1568">
        <w:rPr>
          <w:rFonts w:ascii="Arial" w:hAnsi="Arial"/>
          <w:b/>
          <w:szCs w:val="20"/>
          <w:lang w:val="en-GB"/>
        </w:rPr>
        <w:t>Government spending supporting the KZN economy</w:t>
      </w:r>
    </w:p>
    <w:p w:rsidR="00ED1568" w:rsidRPr="00ED1568" w:rsidRDefault="00ED1568" w:rsidP="00ED1568">
      <w:pPr>
        <w:spacing w:line="240" w:lineRule="auto"/>
        <w:rPr>
          <w:rFonts w:ascii="Arial" w:hAnsi="Arial"/>
          <w:szCs w:val="20"/>
          <w:lang w:val="en-GB"/>
        </w:rPr>
      </w:pPr>
      <w:r w:rsidRPr="00ED1568">
        <w:rPr>
          <w:rFonts w:ascii="Arial" w:hAnsi="Arial"/>
          <w:szCs w:val="20"/>
          <w:lang w:val="en-GB"/>
        </w:rPr>
        <w:t>National, provincial and local government spending, which accounts for more than 14% of the KwaZulu-Natal economy, grew by 8,5% year-on-year after spending growth hit a low of 1,2% in March. In a slowdown, such as the current one experienced, government needs to spend money to help grow the province’s economy.</w:t>
      </w:r>
    </w:p>
    <w:p w:rsidR="00ED1568" w:rsidRPr="00ED1568" w:rsidRDefault="00ED1568" w:rsidP="00ED1568">
      <w:pPr>
        <w:spacing w:line="240" w:lineRule="auto"/>
        <w:rPr>
          <w:rFonts w:ascii="Arial" w:hAnsi="Arial"/>
          <w:szCs w:val="20"/>
          <w:lang w:val="en-GB"/>
        </w:rPr>
      </w:pPr>
    </w:p>
    <w:p w:rsidR="00ED1568" w:rsidRPr="00ED1568" w:rsidRDefault="00ED1568" w:rsidP="00ED1568">
      <w:pPr>
        <w:spacing w:line="240" w:lineRule="auto"/>
        <w:rPr>
          <w:rFonts w:ascii="Arial" w:hAnsi="Arial"/>
          <w:szCs w:val="20"/>
          <w:lang w:val="en-GB"/>
        </w:rPr>
      </w:pPr>
    </w:p>
    <w:p w:rsidR="00ED1568" w:rsidRDefault="00ED1568" w:rsidP="00ED1568">
      <w:pPr>
        <w:spacing w:line="240" w:lineRule="auto"/>
        <w:rPr>
          <w:rFonts w:ascii="Arial" w:hAnsi="Arial"/>
          <w:b/>
          <w:szCs w:val="20"/>
        </w:rPr>
      </w:pPr>
      <w:bookmarkStart w:id="0" w:name="_GoBack"/>
      <w:bookmarkEnd w:id="0"/>
      <w:r w:rsidRPr="00ED1568">
        <w:rPr>
          <w:rFonts w:ascii="Arial" w:hAnsi="Arial"/>
          <w:b/>
          <w:szCs w:val="20"/>
        </w:rPr>
        <w:t>Results Table:</w:t>
      </w:r>
    </w:p>
    <w:p w:rsidR="00ED1568" w:rsidRDefault="00ED1568" w:rsidP="00ED1568">
      <w:pPr>
        <w:spacing w:line="240" w:lineRule="auto"/>
        <w:rPr>
          <w:rFonts w:ascii="Arial" w:hAnsi="Arial"/>
          <w:b/>
          <w:szCs w:val="20"/>
        </w:rPr>
      </w:pPr>
    </w:p>
    <w:p w:rsidR="00ED1568" w:rsidRPr="00ED1568" w:rsidRDefault="00ED1568" w:rsidP="00ED1568">
      <w:pPr>
        <w:spacing w:line="240" w:lineRule="auto"/>
        <w:rPr>
          <w:rFonts w:ascii="Arial" w:hAnsi="Arial"/>
          <w:b/>
          <w:szCs w:val="20"/>
        </w:rPr>
      </w:pPr>
      <w:r w:rsidRPr="00ED1568">
        <w:rPr>
          <w:noProof/>
          <w:lang w:val="en-ZA" w:eastAsia="en-ZA"/>
        </w:rPr>
        <w:drawing>
          <wp:inline distT="0" distB="0" distL="0" distR="0">
            <wp:extent cx="6476999" cy="256032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80810" cy="2561827"/>
                    </a:xfrm>
                    <a:prstGeom prst="rect">
                      <a:avLst/>
                    </a:prstGeom>
                    <a:noFill/>
                    <a:ln>
                      <a:noFill/>
                    </a:ln>
                  </pic:spPr>
                </pic:pic>
              </a:graphicData>
            </a:graphic>
          </wp:inline>
        </w:drawing>
      </w:r>
    </w:p>
    <w:sectPr w:rsidR="00ED1568" w:rsidRPr="00ED1568"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36DB" w:rsidRDefault="00C336DB" w:rsidP="005A53F9">
      <w:pPr>
        <w:spacing w:line="240" w:lineRule="auto"/>
      </w:pPr>
      <w:r>
        <w:separator/>
      </w:r>
    </w:p>
  </w:endnote>
  <w:endnote w:type="continuationSeparator" w:id="0">
    <w:p w:rsidR="00C336DB" w:rsidRDefault="00C336DB"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5D18E2">
    <w:pPr>
      <w:pStyle w:val="Footer"/>
    </w:pP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8551F" w:rsidRPr="009A05FE" w:rsidRDefault="0078551F"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EC+M2a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36DB" w:rsidRDefault="00C336DB" w:rsidP="005A53F9">
      <w:pPr>
        <w:spacing w:line="240" w:lineRule="auto"/>
      </w:pPr>
      <w:r>
        <w:separator/>
      </w:r>
    </w:p>
  </w:footnote>
  <w:footnote w:type="continuationSeparator" w:id="0">
    <w:p w:rsidR="00C336DB" w:rsidRDefault="00C336DB"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rsidRPr="005A53F9">
      <w:rPr>
        <w:noProof/>
        <w:lang w:val="en-ZA" w:eastAsia="en-ZA"/>
      </w:rPr>
      <w:drawing>
        <wp:inline distT="0" distB="0" distL="0" distR="0">
          <wp:extent cx="2162175" cy="771525"/>
          <wp:effectExtent l="19050" t="0" r="9525" b="0"/>
          <wp:docPr id="4" name="Picture 2" descr="Corr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LOGO"/>
                  <pic:cNvPicPr>
                    <a:picLocks noChangeAspect="1" noChangeArrowheads="1"/>
                  </pic:cNvPicPr>
                </pic:nvPicPr>
                <pic:blipFill>
                  <a:blip r:embed="rId1" cstate="print"/>
                  <a:srcRect/>
                  <a:stretch>
                    <a:fillRect/>
                  </a:stretch>
                </pic:blipFill>
                <pic:spPr bwMode="auto">
                  <a:xfrm>
                    <a:off x="0" y="0"/>
                    <a:ext cx="2162175" cy="77152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1240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124075" cy="67627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324100" cy="600075"/>
          <wp:effectExtent l="19050" t="0" r="0" b="0"/>
          <wp:docPr id="6" name="Picture 11" descr="top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7.jpg"/>
                  <pic:cNvPicPr>
                    <a:picLocks noChangeAspect="1" noChangeArrowheads="1"/>
                  </pic:cNvPicPr>
                </pic:nvPicPr>
                <pic:blipFill>
                  <a:blip r:embed="rId3" cstate="print"/>
                  <a:srcRect/>
                  <a:stretch>
                    <a:fillRect/>
                  </a:stretch>
                </pic:blipFill>
                <pic:spPr bwMode="auto">
                  <a:xfrm>
                    <a:off x="0" y="0"/>
                    <a:ext cx="2324100" cy="6000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54BB1"/>
    <w:rsid w:val="00026014"/>
    <w:rsid w:val="00077D41"/>
    <w:rsid w:val="000A346C"/>
    <w:rsid w:val="000A5CE8"/>
    <w:rsid w:val="000C27C2"/>
    <w:rsid w:val="000F6EDC"/>
    <w:rsid w:val="00104892"/>
    <w:rsid w:val="0012629B"/>
    <w:rsid w:val="0014110B"/>
    <w:rsid w:val="00184712"/>
    <w:rsid w:val="001E4052"/>
    <w:rsid w:val="00280844"/>
    <w:rsid w:val="00384BEE"/>
    <w:rsid w:val="003A146A"/>
    <w:rsid w:val="003B0BDF"/>
    <w:rsid w:val="003C1263"/>
    <w:rsid w:val="003D2C89"/>
    <w:rsid w:val="004246DB"/>
    <w:rsid w:val="00435A38"/>
    <w:rsid w:val="00451BA1"/>
    <w:rsid w:val="00454BB1"/>
    <w:rsid w:val="00482F59"/>
    <w:rsid w:val="00536704"/>
    <w:rsid w:val="00560FC5"/>
    <w:rsid w:val="00570C0F"/>
    <w:rsid w:val="005A53F9"/>
    <w:rsid w:val="005D18E2"/>
    <w:rsid w:val="005E1A21"/>
    <w:rsid w:val="005F396D"/>
    <w:rsid w:val="00662636"/>
    <w:rsid w:val="00680206"/>
    <w:rsid w:val="0069663D"/>
    <w:rsid w:val="006A6E68"/>
    <w:rsid w:val="006C21FF"/>
    <w:rsid w:val="006C3022"/>
    <w:rsid w:val="00756B58"/>
    <w:rsid w:val="007746EC"/>
    <w:rsid w:val="0078551F"/>
    <w:rsid w:val="007B66FB"/>
    <w:rsid w:val="008118BF"/>
    <w:rsid w:val="00855F84"/>
    <w:rsid w:val="008A03D8"/>
    <w:rsid w:val="008C38FE"/>
    <w:rsid w:val="00925C17"/>
    <w:rsid w:val="00946625"/>
    <w:rsid w:val="00950B0E"/>
    <w:rsid w:val="0097654D"/>
    <w:rsid w:val="009F4B73"/>
    <w:rsid w:val="00A31FFD"/>
    <w:rsid w:val="00A700CF"/>
    <w:rsid w:val="00B037AD"/>
    <w:rsid w:val="00B12C09"/>
    <w:rsid w:val="00B63885"/>
    <w:rsid w:val="00B72457"/>
    <w:rsid w:val="00BD3888"/>
    <w:rsid w:val="00C17D4A"/>
    <w:rsid w:val="00C336DB"/>
    <w:rsid w:val="00C9312D"/>
    <w:rsid w:val="00C94F75"/>
    <w:rsid w:val="00CA46F5"/>
    <w:rsid w:val="00CC5AD1"/>
    <w:rsid w:val="00CD2455"/>
    <w:rsid w:val="00CD39B4"/>
    <w:rsid w:val="00D02704"/>
    <w:rsid w:val="00D04DFB"/>
    <w:rsid w:val="00D05FA7"/>
    <w:rsid w:val="00D07179"/>
    <w:rsid w:val="00D177BD"/>
    <w:rsid w:val="00E03479"/>
    <w:rsid w:val="00E4336B"/>
    <w:rsid w:val="00E857F8"/>
    <w:rsid w:val="00EB6C11"/>
    <w:rsid w:val="00EC2FEE"/>
    <w:rsid w:val="00ED1568"/>
    <w:rsid w:val="00EF73C6"/>
    <w:rsid w:val="00F37AF9"/>
    <w:rsid w:val="00F37D2D"/>
    <w:rsid w:val="00F60399"/>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47768699">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14163">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lang val="en-ZA"/>
  <c:chart>
    <c:title>
      <c:layout>
        <c:manualLayout>
          <c:xMode val="edge"/>
          <c:yMode val="edge"/>
          <c:x val="0.15050508109563232"/>
          <c:y val="0.22053511326151373"/>
        </c:manualLayout>
      </c:layout>
      <c:spPr>
        <a:noFill/>
        <a:ln w="25400">
          <a:noFill/>
        </a:ln>
      </c:spPr>
      <c:txPr>
        <a:bodyPr/>
        <a:lstStyle/>
        <a:p>
          <a:pPr>
            <a:defRPr lang="en-GB" sz="1800" b="1" i="0" u="none" strike="noStrike" baseline="0">
              <a:solidFill>
                <a:srgbClr val="000000"/>
              </a:solidFill>
              <a:latin typeface="Arial"/>
              <a:ea typeface="Arial"/>
              <a:cs typeface="Arial"/>
            </a:defRPr>
          </a:pPr>
          <a:endParaRPr lang="en-US"/>
        </a:p>
      </c:txPr>
    </c:title>
    <c:plotArea>
      <c:layout>
        <c:manualLayout>
          <c:layoutTarget val="inner"/>
          <c:xMode val="edge"/>
          <c:yMode val="edge"/>
          <c:x val="6.2603575309230011E-2"/>
          <c:y val="3.1475523413093891E-2"/>
          <c:w val="0.90193899653330145"/>
          <c:h val="0.76970542517136842"/>
        </c:manualLayout>
      </c:layout>
      <c:lineChart>
        <c:grouping val="standard"/>
        <c:ser>
          <c:idx val="0"/>
          <c:order val="0"/>
          <c:tx>
            <c:strRef>
              <c:f>'Final Indices (SA)'!$M$2</c:f>
              <c:strCache>
                <c:ptCount val="1"/>
                <c:pt idx="0">
                  <c:v>KZN  Barometer</c:v>
                </c:pt>
              </c:strCache>
            </c:strRef>
          </c:tx>
          <c:spPr>
            <a:ln w="63500">
              <a:solidFill>
                <a:schemeClr val="accent3"/>
              </a:solidFill>
              <a:prstDash val="solid"/>
            </a:ln>
          </c:spPr>
          <c:marker>
            <c:symbol val="none"/>
          </c:marker>
          <c:cat>
            <c:numRef>
              <c:f>'Final Indices (SA)'!$A$69:$A$129</c:f>
              <c:numCache>
                <c:formatCode>mmm\-yy</c:formatCode>
                <c:ptCount val="61"/>
                <c:pt idx="0">
                  <c:v>39234</c:v>
                </c:pt>
                <c:pt idx="1">
                  <c:v>39264</c:v>
                </c:pt>
                <c:pt idx="2">
                  <c:v>39295</c:v>
                </c:pt>
                <c:pt idx="3">
                  <c:v>39326</c:v>
                </c:pt>
                <c:pt idx="4">
                  <c:v>39356</c:v>
                </c:pt>
                <c:pt idx="5">
                  <c:v>39387</c:v>
                </c:pt>
                <c:pt idx="6">
                  <c:v>39417</c:v>
                </c:pt>
                <c:pt idx="7">
                  <c:v>39448</c:v>
                </c:pt>
                <c:pt idx="8">
                  <c:v>39479</c:v>
                </c:pt>
                <c:pt idx="9">
                  <c:v>39508</c:v>
                </c:pt>
                <c:pt idx="10">
                  <c:v>39539</c:v>
                </c:pt>
                <c:pt idx="11">
                  <c:v>39569</c:v>
                </c:pt>
                <c:pt idx="12">
                  <c:v>39600</c:v>
                </c:pt>
                <c:pt idx="13">
                  <c:v>39630</c:v>
                </c:pt>
                <c:pt idx="14">
                  <c:v>39661</c:v>
                </c:pt>
                <c:pt idx="15">
                  <c:v>39692</c:v>
                </c:pt>
                <c:pt idx="16">
                  <c:v>39722</c:v>
                </c:pt>
                <c:pt idx="17">
                  <c:v>39753</c:v>
                </c:pt>
                <c:pt idx="18">
                  <c:v>39783</c:v>
                </c:pt>
                <c:pt idx="19">
                  <c:v>39814</c:v>
                </c:pt>
                <c:pt idx="20">
                  <c:v>39845</c:v>
                </c:pt>
                <c:pt idx="21">
                  <c:v>39873</c:v>
                </c:pt>
                <c:pt idx="22">
                  <c:v>39904</c:v>
                </c:pt>
                <c:pt idx="23">
                  <c:v>39934</c:v>
                </c:pt>
                <c:pt idx="24">
                  <c:v>39965</c:v>
                </c:pt>
                <c:pt idx="25">
                  <c:v>39995</c:v>
                </c:pt>
                <c:pt idx="26">
                  <c:v>40026</c:v>
                </c:pt>
                <c:pt idx="27">
                  <c:v>40057</c:v>
                </c:pt>
                <c:pt idx="28">
                  <c:v>40087</c:v>
                </c:pt>
                <c:pt idx="29">
                  <c:v>40118</c:v>
                </c:pt>
                <c:pt idx="30">
                  <c:v>40148</c:v>
                </c:pt>
                <c:pt idx="31">
                  <c:v>40179</c:v>
                </c:pt>
                <c:pt idx="32">
                  <c:v>40210</c:v>
                </c:pt>
                <c:pt idx="33">
                  <c:v>40238</c:v>
                </c:pt>
                <c:pt idx="34">
                  <c:v>40269</c:v>
                </c:pt>
                <c:pt idx="35">
                  <c:v>40299</c:v>
                </c:pt>
                <c:pt idx="36">
                  <c:v>40330</c:v>
                </c:pt>
                <c:pt idx="37">
                  <c:v>40360</c:v>
                </c:pt>
                <c:pt idx="38">
                  <c:v>40391</c:v>
                </c:pt>
                <c:pt idx="39">
                  <c:v>40422</c:v>
                </c:pt>
                <c:pt idx="40">
                  <c:v>40452</c:v>
                </c:pt>
                <c:pt idx="41">
                  <c:v>40483</c:v>
                </c:pt>
                <c:pt idx="42">
                  <c:v>40513</c:v>
                </c:pt>
                <c:pt idx="43">
                  <c:v>40544</c:v>
                </c:pt>
                <c:pt idx="44">
                  <c:v>40575</c:v>
                </c:pt>
                <c:pt idx="45">
                  <c:v>40603</c:v>
                </c:pt>
                <c:pt idx="46">
                  <c:v>40634</c:v>
                </c:pt>
                <c:pt idx="47">
                  <c:v>40664</c:v>
                </c:pt>
                <c:pt idx="48">
                  <c:v>40695</c:v>
                </c:pt>
                <c:pt idx="49">
                  <c:v>40725</c:v>
                </c:pt>
                <c:pt idx="50">
                  <c:v>40756</c:v>
                </c:pt>
                <c:pt idx="51">
                  <c:v>40787</c:v>
                </c:pt>
                <c:pt idx="52">
                  <c:v>40817</c:v>
                </c:pt>
                <c:pt idx="53">
                  <c:v>40848</c:v>
                </c:pt>
                <c:pt idx="54">
                  <c:v>40878</c:v>
                </c:pt>
                <c:pt idx="55">
                  <c:v>40909</c:v>
                </c:pt>
                <c:pt idx="56">
                  <c:v>40940</c:v>
                </c:pt>
                <c:pt idx="57">
                  <c:v>40969</c:v>
                </c:pt>
                <c:pt idx="58">
                  <c:v>41000</c:v>
                </c:pt>
                <c:pt idx="59">
                  <c:v>41030</c:v>
                </c:pt>
                <c:pt idx="60">
                  <c:v>41061</c:v>
                </c:pt>
              </c:numCache>
            </c:numRef>
          </c:cat>
          <c:val>
            <c:numRef>
              <c:f>'Final Indices (SA)'!$M$69:$M$129</c:f>
              <c:numCache>
                <c:formatCode>0.0</c:formatCode>
                <c:ptCount val="61"/>
                <c:pt idx="0">
                  <c:v>102.81104116553476</c:v>
                </c:pt>
                <c:pt idx="1">
                  <c:v>103.82195094876437</c:v>
                </c:pt>
                <c:pt idx="2">
                  <c:v>102.78527157898976</c:v>
                </c:pt>
                <c:pt idx="3">
                  <c:v>103.1100497465377</c:v>
                </c:pt>
                <c:pt idx="4">
                  <c:v>101.55061854431852</c:v>
                </c:pt>
                <c:pt idx="5">
                  <c:v>102.5165538352876</c:v>
                </c:pt>
                <c:pt idx="6">
                  <c:v>100.62395075049854</c:v>
                </c:pt>
                <c:pt idx="7">
                  <c:v>103.85973566073781</c:v>
                </c:pt>
                <c:pt idx="8">
                  <c:v>104.3217931872223</c:v>
                </c:pt>
                <c:pt idx="9">
                  <c:v>104.00373993062085</c:v>
                </c:pt>
                <c:pt idx="10">
                  <c:v>102.17887444438364</c:v>
                </c:pt>
                <c:pt idx="11">
                  <c:v>102.84142061993794</c:v>
                </c:pt>
                <c:pt idx="12">
                  <c:v>99.535422856242818</c:v>
                </c:pt>
                <c:pt idx="13">
                  <c:v>100.58483322602061</c:v>
                </c:pt>
                <c:pt idx="14">
                  <c:v>98.590377886450725</c:v>
                </c:pt>
                <c:pt idx="15">
                  <c:v>97.589494143476372</c:v>
                </c:pt>
                <c:pt idx="16">
                  <c:v>97.154286923114412</c:v>
                </c:pt>
                <c:pt idx="17">
                  <c:v>96.650799827019398</c:v>
                </c:pt>
                <c:pt idx="18">
                  <c:v>96.354669757731742</c:v>
                </c:pt>
                <c:pt idx="19">
                  <c:v>97.868810170156664</c:v>
                </c:pt>
                <c:pt idx="20">
                  <c:v>98.748662176596326</c:v>
                </c:pt>
                <c:pt idx="21">
                  <c:v>98.515959225675246</c:v>
                </c:pt>
                <c:pt idx="22">
                  <c:v>96.923948276864564</c:v>
                </c:pt>
                <c:pt idx="23">
                  <c:v>98.032512790629454</c:v>
                </c:pt>
                <c:pt idx="24">
                  <c:v>102.23993894032863</c:v>
                </c:pt>
                <c:pt idx="25">
                  <c:v>102.75098422490869</c:v>
                </c:pt>
                <c:pt idx="26">
                  <c:v>103.68206924189806</c:v>
                </c:pt>
                <c:pt idx="27">
                  <c:v>103.78664019159747</c:v>
                </c:pt>
                <c:pt idx="28">
                  <c:v>103.38710868738939</c:v>
                </c:pt>
                <c:pt idx="29">
                  <c:v>103.82755788557252</c:v>
                </c:pt>
                <c:pt idx="30">
                  <c:v>104.06552231860843</c:v>
                </c:pt>
                <c:pt idx="31">
                  <c:v>107.32169314992828</c:v>
                </c:pt>
                <c:pt idx="32">
                  <c:v>106.64962491138249</c:v>
                </c:pt>
                <c:pt idx="33">
                  <c:v>108.59926211122171</c:v>
                </c:pt>
                <c:pt idx="34">
                  <c:v>108.03163760407952</c:v>
                </c:pt>
                <c:pt idx="35">
                  <c:v>108.19574625346945</c:v>
                </c:pt>
                <c:pt idx="36">
                  <c:v>109.32538698555214</c:v>
                </c:pt>
                <c:pt idx="37">
                  <c:v>108.89427073177296</c:v>
                </c:pt>
                <c:pt idx="38">
                  <c:v>109.42872550671615</c:v>
                </c:pt>
                <c:pt idx="39">
                  <c:v>112.14842858069939</c:v>
                </c:pt>
                <c:pt idx="40">
                  <c:v>111.57245983314701</c:v>
                </c:pt>
                <c:pt idx="41">
                  <c:v>112.78133198350608</c:v>
                </c:pt>
                <c:pt idx="42">
                  <c:v>112.60737753618707</c:v>
                </c:pt>
                <c:pt idx="43">
                  <c:v>118.83552217570855</c:v>
                </c:pt>
                <c:pt idx="44">
                  <c:v>119.55764878498988</c:v>
                </c:pt>
                <c:pt idx="45">
                  <c:v>121.82965848848966</c:v>
                </c:pt>
                <c:pt idx="46">
                  <c:v>123.52754225538855</c:v>
                </c:pt>
                <c:pt idx="47">
                  <c:v>121.65427563167195</c:v>
                </c:pt>
                <c:pt idx="48">
                  <c:v>120.0298007236685</c:v>
                </c:pt>
                <c:pt idx="49">
                  <c:v>117.04457689399898</c:v>
                </c:pt>
                <c:pt idx="50">
                  <c:v>117.21103004536673</c:v>
                </c:pt>
                <c:pt idx="51">
                  <c:v>119.50308790400047</c:v>
                </c:pt>
                <c:pt idx="52">
                  <c:v>120.69766170103966</c:v>
                </c:pt>
                <c:pt idx="53">
                  <c:v>122.65158882142576</c:v>
                </c:pt>
                <c:pt idx="54">
                  <c:v>123.1363052168266</c:v>
                </c:pt>
                <c:pt idx="55">
                  <c:v>128.33379946188251</c:v>
                </c:pt>
                <c:pt idx="56">
                  <c:v>127.13865540251179</c:v>
                </c:pt>
                <c:pt idx="57">
                  <c:v>125.67215552103936</c:v>
                </c:pt>
                <c:pt idx="58">
                  <c:v>126.31134645222618</c:v>
                </c:pt>
                <c:pt idx="59">
                  <c:v>125.43247238215208</c:v>
                </c:pt>
                <c:pt idx="60">
                  <c:v>124.96619340788477</c:v>
                </c:pt>
              </c:numCache>
            </c:numRef>
          </c:val>
        </c:ser>
        <c:marker val="1"/>
        <c:axId val="58559488"/>
        <c:axId val="123183872"/>
      </c:lineChart>
      <c:dateAx>
        <c:axId val="58559488"/>
        <c:scaling>
          <c:orientation val="minMax"/>
        </c:scaling>
        <c:axPos val="b"/>
        <c:numFmt formatCode="mmm\-yy" sourceLinked="0"/>
        <c:tickLblPos val="nextTo"/>
        <c:spPr>
          <a:ln w="3175">
            <a:solidFill>
              <a:srgbClr val="000000"/>
            </a:solidFill>
            <a:prstDash val="solid"/>
          </a:ln>
        </c:spPr>
        <c:txPr>
          <a:bodyPr rot="-1800000" vert="horz"/>
          <a:lstStyle/>
          <a:p>
            <a:pPr>
              <a:defRPr lang="en-GB" sz="1200" b="1" i="0" u="none" strike="noStrike" baseline="0">
                <a:solidFill>
                  <a:srgbClr val="000000"/>
                </a:solidFill>
                <a:latin typeface="Arial"/>
                <a:ea typeface="Arial"/>
                <a:cs typeface="Arial"/>
              </a:defRPr>
            </a:pPr>
            <a:endParaRPr lang="en-US"/>
          </a:p>
        </c:txPr>
        <c:crossAx val="123183872"/>
        <c:crosses val="autoZero"/>
        <c:auto val="1"/>
        <c:lblOffset val="100"/>
        <c:baseTimeUnit val="months"/>
        <c:majorUnit val="5"/>
        <c:majorTimeUnit val="months"/>
        <c:minorUnit val="3"/>
        <c:minorTimeUnit val="months"/>
      </c:dateAx>
      <c:valAx>
        <c:axId val="123183872"/>
        <c:scaling>
          <c:orientation val="minMax"/>
          <c:max val="130"/>
          <c:min val="95"/>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lang="en-GB" sz="1200" b="1" i="0" u="none" strike="noStrike" baseline="0">
                <a:solidFill>
                  <a:srgbClr val="000000"/>
                </a:solidFill>
                <a:latin typeface="Arial"/>
                <a:ea typeface="Arial"/>
                <a:cs typeface="Arial"/>
              </a:defRPr>
            </a:pPr>
            <a:endParaRPr lang="en-US"/>
          </a:p>
        </c:txPr>
        <c:crossAx val="58559488"/>
        <c:crosses val="autoZero"/>
        <c:crossBetween val="between"/>
        <c:majorUnit val="10"/>
      </c:valAx>
      <c:spPr>
        <a:noFill/>
        <a:ln w="12700">
          <a:solidFill>
            <a:srgbClr val="808080"/>
          </a:solidFill>
          <a:prstDash val="solid"/>
        </a:ln>
      </c:spPr>
    </c:plotArea>
    <c:plotVisOnly val="1"/>
    <c:dispBlanksAs val="gap"/>
  </c:chart>
  <c:spPr>
    <a:noFill/>
    <a:ln w="9525">
      <a:noFill/>
    </a:ln>
  </c:spPr>
  <c:txPr>
    <a:bodyPr/>
    <a:lstStyle/>
    <a:p>
      <a:pPr>
        <a:defRPr sz="1000" b="0" i="0" u="none" strike="noStrike" baseline="0">
          <a:solidFill>
            <a:srgbClr val="000000"/>
          </a:solidFill>
          <a:latin typeface="Arial"/>
          <a:ea typeface="Arial"/>
          <a:cs typeface="Arial"/>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336732-806F-4A54-AE6C-F822F7FCD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1205</Words>
  <Characters>6871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8060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2012-08-08T21:27:00Z</dcterms:created>
  <dcterms:modified xsi:type="dcterms:W3CDTF">2012-08-08T21:27:00Z</dcterms:modified>
</cp:coreProperties>
</file>