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3F9" w:rsidRDefault="005A53F9" w:rsidP="00454BB1">
      <w:pPr>
        <w:jc w:val="center"/>
        <w:rPr>
          <w:rFonts w:ascii="Book Antiqua" w:hAnsi="Book Antiqua"/>
          <w:noProof/>
        </w:rPr>
      </w:pPr>
    </w:p>
    <w:p w:rsidR="00454BB1" w:rsidRDefault="005A53F9" w:rsidP="005A53F9">
      <w:pPr>
        <w:tabs>
          <w:tab w:val="left" w:pos="555"/>
        </w:tabs>
      </w:pPr>
      <w:r>
        <w:rPr>
          <w:rFonts w:ascii="Book Antiqua" w:hAnsi="Book Antiqua"/>
          <w:noProof/>
        </w:rPr>
        <w:tab/>
      </w:r>
    </w:p>
    <w:p w:rsidR="00454BB1" w:rsidRDefault="00454BB1"/>
    <w:p w:rsidR="00454BB1" w:rsidRDefault="00454BB1" w:rsidP="00454BB1">
      <w:pPr>
        <w:jc w:val="center"/>
      </w:pPr>
    </w:p>
    <w:p w:rsidR="00454BB1" w:rsidRPr="00454BB1" w:rsidRDefault="00454BB1" w:rsidP="00454BB1"/>
    <w:p w:rsidR="00454BB1" w:rsidRPr="00454BB1" w:rsidRDefault="00454BB1" w:rsidP="00454BB1"/>
    <w:p w:rsidR="00454BB1" w:rsidRDefault="00454BB1" w:rsidP="00454BB1"/>
    <w:p w:rsidR="00A700CF" w:rsidRDefault="00A700CF" w:rsidP="00454BB1"/>
    <w:p w:rsidR="00454BB1" w:rsidRDefault="00454BB1" w:rsidP="00454BB1">
      <w:pPr>
        <w:jc w:val="center"/>
      </w:pPr>
    </w:p>
    <w:p w:rsidR="00454BB1" w:rsidRDefault="00454BB1" w:rsidP="00454BB1"/>
    <w:p w:rsidR="00A700CF" w:rsidRDefault="00A700CF" w:rsidP="00454BB1"/>
    <w:p w:rsidR="005A53F9" w:rsidRDefault="005A53F9" w:rsidP="00454BB1">
      <w:pPr>
        <w:jc w:val="center"/>
        <w:rPr>
          <w:rFonts w:ascii="Arial" w:hAnsi="Arial"/>
          <w:b/>
          <w:sz w:val="28"/>
          <w:szCs w:val="28"/>
        </w:rPr>
      </w:pPr>
    </w:p>
    <w:p w:rsidR="005A53F9" w:rsidRDefault="005A53F9" w:rsidP="00454BB1">
      <w:pPr>
        <w:jc w:val="center"/>
        <w:rPr>
          <w:rFonts w:ascii="Arial" w:hAnsi="Arial"/>
          <w:b/>
          <w:sz w:val="28"/>
          <w:szCs w:val="28"/>
        </w:rPr>
      </w:pPr>
    </w:p>
    <w:p w:rsidR="00454BB1" w:rsidRPr="00454BB1" w:rsidRDefault="00454BB1" w:rsidP="00454BB1">
      <w:pPr>
        <w:jc w:val="center"/>
        <w:rPr>
          <w:rFonts w:ascii="Arial" w:hAnsi="Arial"/>
          <w:b/>
          <w:sz w:val="28"/>
          <w:szCs w:val="28"/>
        </w:rPr>
      </w:pPr>
      <w:r w:rsidRPr="00454BB1">
        <w:rPr>
          <w:rFonts w:ascii="Arial" w:hAnsi="Arial"/>
          <w:b/>
          <w:sz w:val="28"/>
          <w:szCs w:val="28"/>
        </w:rPr>
        <w:t xml:space="preserve">KwaZulu-Natal </w:t>
      </w:r>
      <w:r w:rsidR="00BD3888">
        <w:rPr>
          <w:rFonts w:ascii="Arial" w:hAnsi="Arial"/>
          <w:b/>
          <w:sz w:val="28"/>
          <w:szCs w:val="28"/>
        </w:rPr>
        <w:t>Investment</w:t>
      </w:r>
      <w:r w:rsidR="005F396D">
        <w:rPr>
          <w:rFonts w:ascii="Arial" w:hAnsi="Arial"/>
          <w:b/>
          <w:sz w:val="28"/>
          <w:szCs w:val="28"/>
        </w:rPr>
        <w:t xml:space="preserve"> </w:t>
      </w:r>
      <w:r w:rsidR="00BD3888">
        <w:rPr>
          <w:rFonts w:ascii="Arial" w:hAnsi="Arial"/>
          <w:b/>
          <w:sz w:val="28"/>
          <w:szCs w:val="28"/>
        </w:rPr>
        <w:t>Monitor</w:t>
      </w:r>
      <w:r w:rsidRPr="00454BB1">
        <w:rPr>
          <w:rFonts w:ascii="Arial" w:hAnsi="Arial"/>
          <w:b/>
          <w:sz w:val="28"/>
          <w:szCs w:val="28"/>
        </w:rPr>
        <w:t xml:space="preserve"> </w:t>
      </w:r>
    </w:p>
    <w:p w:rsidR="00454BB1" w:rsidRPr="00454BB1" w:rsidRDefault="00454BB1" w:rsidP="00454BB1">
      <w:pPr>
        <w:jc w:val="center"/>
        <w:rPr>
          <w:rFonts w:ascii="Arial" w:hAnsi="Arial"/>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454BB1" w:rsidRDefault="00077D41" w:rsidP="00454BB1">
      <w:pPr>
        <w:jc w:val="center"/>
        <w:rPr>
          <w:rFonts w:ascii="Arial" w:hAnsi="Arial"/>
          <w:b/>
        </w:rPr>
      </w:pPr>
      <w:r>
        <w:rPr>
          <w:rFonts w:ascii="Arial" w:hAnsi="Arial"/>
          <w:b/>
        </w:rPr>
        <w:t>April</w:t>
      </w:r>
      <w:r w:rsidR="00C9312D">
        <w:rPr>
          <w:rFonts w:ascii="Arial" w:hAnsi="Arial"/>
          <w:b/>
        </w:rPr>
        <w:t xml:space="preserve"> 2012</w:t>
      </w:r>
    </w:p>
    <w:p w:rsidR="00454BB1" w:rsidRDefault="00454BB1" w:rsidP="00454BB1">
      <w:pPr>
        <w:jc w:val="center"/>
        <w:rPr>
          <w:rFonts w:ascii="Arial" w:hAnsi="Arial"/>
          <w:b/>
        </w:rPr>
      </w:pPr>
    </w:p>
    <w:p w:rsidR="005A53F9" w:rsidRDefault="005A53F9">
      <w:pPr>
        <w:rPr>
          <w:rFonts w:ascii="Arial" w:hAnsi="Arial"/>
        </w:rPr>
        <w:sectPr w:rsidR="005A53F9" w:rsidSect="00184712">
          <w:headerReference w:type="default" r:id="rId7"/>
          <w:footerReference w:type="default" r:id="rId8"/>
          <w:pgSz w:w="12240" w:h="15840"/>
          <w:pgMar w:top="3649" w:right="474" w:bottom="1440" w:left="426" w:header="2127" w:footer="2836" w:gutter="0"/>
          <w:cols w:space="708"/>
          <w:docGrid w:linePitch="360"/>
        </w:sectPr>
      </w:pPr>
      <w:r>
        <w:rPr>
          <w:rFonts w:ascii="Arial" w:hAnsi="Arial"/>
        </w:rPr>
        <w:br w:type="page"/>
      </w:r>
    </w:p>
    <w:p w:rsidR="00077D41" w:rsidRPr="00077D41" w:rsidRDefault="00077D41" w:rsidP="00077D41">
      <w:pPr>
        <w:rPr>
          <w:rFonts w:ascii="Arial" w:hAnsi="Arial"/>
          <w:b/>
          <w:bCs/>
          <w:sz w:val="32"/>
          <w:szCs w:val="32"/>
          <w:lang w:val="en-GB"/>
        </w:rPr>
      </w:pPr>
      <w:r w:rsidRPr="00077D41">
        <w:rPr>
          <w:rFonts w:ascii="Arial" w:hAnsi="Arial"/>
          <w:b/>
          <w:bCs/>
          <w:sz w:val="32"/>
          <w:szCs w:val="32"/>
          <w:lang w:val="en-GB"/>
        </w:rPr>
        <w:lastRenderedPageBreak/>
        <w:t>Fixed investment in KwaZulu-Natal slowing</w:t>
      </w:r>
    </w:p>
    <w:p w:rsidR="00077D41" w:rsidRDefault="00077D41" w:rsidP="00077D41">
      <w:pPr>
        <w:rPr>
          <w:rFonts w:ascii="Arial" w:hAnsi="Arial"/>
          <w:szCs w:val="20"/>
        </w:rPr>
      </w:pPr>
      <w:r>
        <w:rPr>
          <w:noProof/>
          <w:lang w:val="en-ZA" w:eastAsia="en-ZA"/>
        </w:rPr>
        <w:drawing>
          <wp:inline distT="0" distB="0" distL="0" distR="0">
            <wp:extent cx="5943600" cy="3879215"/>
            <wp:effectExtent l="0" t="0" r="19050" b="2603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77D41" w:rsidRDefault="00077D41" w:rsidP="00077D41">
      <w:pPr>
        <w:rPr>
          <w:rFonts w:ascii="Arial" w:hAnsi="Arial"/>
          <w:szCs w:val="20"/>
        </w:rPr>
      </w:pPr>
    </w:p>
    <w:p w:rsidR="00077D41" w:rsidRPr="00077D41" w:rsidRDefault="00077D41" w:rsidP="00077D41">
      <w:pPr>
        <w:spacing w:line="240" w:lineRule="auto"/>
        <w:rPr>
          <w:rFonts w:ascii="Arial" w:hAnsi="Arial"/>
          <w:szCs w:val="20"/>
          <w:lang w:val="en-GB"/>
        </w:rPr>
      </w:pPr>
      <w:r w:rsidRPr="00077D41">
        <w:rPr>
          <w:rFonts w:ascii="Arial" w:hAnsi="Arial"/>
          <w:szCs w:val="20"/>
          <w:lang w:val="en-GB"/>
        </w:rPr>
        <w:t xml:space="preserve">Fixed investment in </w:t>
      </w:r>
      <w:smartTag w:uri="urn:schemas-microsoft-com:office:smarttags" w:element="place">
        <w:smartTag w:uri="urn:schemas-microsoft-com:office:smarttags" w:element="State">
          <w:r w:rsidRPr="00077D41">
            <w:rPr>
              <w:rFonts w:ascii="Arial" w:hAnsi="Arial"/>
              <w:szCs w:val="20"/>
              <w:lang w:val="en-GB"/>
            </w:rPr>
            <w:t>KwaZulu-Natal</w:t>
          </w:r>
        </w:smartTag>
      </w:smartTag>
      <w:r w:rsidRPr="00077D41">
        <w:rPr>
          <w:rFonts w:ascii="Arial" w:hAnsi="Arial"/>
          <w:szCs w:val="20"/>
          <w:lang w:val="en-GB"/>
        </w:rPr>
        <w:t xml:space="preserve"> slowed in recent months as growth in some of the major sub-categories of fixed investment in the province slowed. The latest total KwaZulu-Natal fixed investment monitor, as compiled by Mike Sch</w:t>
      </w:r>
      <w:r w:rsidRPr="00077D41">
        <w:rPr>
          <w:rFonts w:ascii="Arial" w:hAnsi="Arial"/>
          <w:szCs w:val="20"/>
          <w:lang w:val="en-GB"/>
        </w:rPr>
        <w:sym w:font="Times New Roman" w:char="00FC"/>
      </w:r>
      <w:r w:rsidRPr="00077D41">
        <w:rPr>
          <w:rFonts w:ascii="Arial" w:hAnsi="Arial"/>
          <w:szCs w:val="20"/>
          <w:lang w:val="en-GB"/>
        </w:rPr>
        <w:t>ssler of Economists.co.za, increased by 15.9% year-on-year, but turned negative quarter-on-quarter for the first time in eight months with a 2.9% decline.</w:t>
      </w:r>
    </w:p>
    <w:p w:rsidR="00077D41" w:rsidRPr="00077D41" w:rsidRDefault="00077D41" w:rsidP="00077D41">
      <w:pPr>
        <w:spacing w:line="240" w:lineRule="auto"/>
        <w:rPr>
          <w:rFonts w:ascii="Arial" w:hAnsi="Arial"/>
          <w:szCs w:val="20"/>
          <w:lang w:val="en-GB"/>
        </w:rPr>
      </w:pPr>
    </w:p>
    <w:p w:rsidR="00077D41" w:rsidRPr="00077D41" w:rsidRDefault="00077D41" w:rsidP="00077D41">
      <w:pPr>
        <w:spacing w:line="240" w:lineRule="auto"/>
        <w:rPr>
          <w:rFonts w:ascii="Arial" w:hAnsi="Arial"/>
          <w:szCs w:val="20"/>
          <w:lang w:val="en-GB"/>
        </w:rPr>
      </w:pPr>
      <w:r w:rsidRPr="00077D41">
        <w:rPr>
          <w:rFonts w:ascii="Arial" w:hAnsi="Arial"/>
          <w:szCs w:val="20"/>
          <w:lang w:val="en-GB"/>
        </w:rPr>
        <w:t xml:space="preserve">Four of the six fixed investment sub-indices were negative quarter-on-quarter in April and one – transport equipment investment – also declined on a year-on-year basis. The 9.1% year-on-year decline follows a 4% decline the previous month. This was surprising as the index was only expected to taper off from its double-digit growth in the preceding eight months. </w:t>
      </w:r>
    </w:p>
    <w:p w:rsidR="00077D41" w:rsidRPr="00077D41" w:rsidRDefault="00077D41" w:rsidP="00077D41">
      <w:pPr>
        <w:spacing w:line="240" w:lineRule="auto"/>
        <w:rPr>
          <w:rFonts w:ascii="Arial" w:hAnsi="Arial"/>
          <w:szCs w:val="20"/>
          <w:lang w:val="en-GB"/>
        </w:rPr>
      </w:pPr>
    </w:p>
    <w:p w:rsidR="00077D41" w:rsidRPr="00077D41" w:rsidRDefault="00077D41" w:rsidP="00077D41">
      <w:pPr>
        <w:spacing w:line="240" w:lineRule="auto"/>
        <w:rPr>
          <w:rFonts w:ascii="Arial" w:hAnsi="Arial"/>
          <w:b/>
          <w:bCs/>
          <w:szCs w:val="20"/>
          <w:lang w:val="en-GB"/>
        </w:rPr>
      </w:pPr>
      <w:r w:rsidRPr="00077D41">
        <w:rPr>
          <w:rFonts w:ascii="Arial" w:hAnsi="Arial"/>
          <w:b/>
          <w:bCs/>
          <w:szCs w:val="20"/>
          <w:lang w:val="en-GB"/>
        </w:rPr>
        <w:t>Lacking ship and aircraft purchases force transport equipment investment down</w:t>
      </w:r>
    </w:p>
    <w:p w:rsidR="00077D41" w:rsidRPr="00077D41" w:rsidRDefault="00077D41" w:rsidP="00077D41">
      <w:pPr>
        <w:spacing w:line="240" w:lineRule="auto"/>
        <w:rPr>
          <w:rFonts w:ascii="Arial" w:hAnsi="Arial"/>
          <w:szCs w:val="20"/>
          <w:lang w:val="en-GB"/>
        </w:rPr>
      </w:pPr>
      <w:r w:rsidRPr="00077D41">
        <w:rPr>
          <w:rFonts w:ascii="Arial" w:hAnsi="Arial"/>
          <w:szCs w:val="20"/>
          <w:lang w:val="en-GB"/>
        </w:rPr>
        <w:t>Investment in transport equipment, which has been one of the star performers in the fixed investment index in KwaZulu-Natal and contributes 14% to the province’s total fixed investment index, declined by 19.6% quarter-on-quarter.</w:t>
      </w:r>
    </w:p>
    <w:p w:rsidR="00077D41" w:rsidRPr="00077D41" w:rsidRDefault="00077D41" w:rsidP="00077D41">
      <w:pPr>
        <w:spacing w:line="240" w:lineRule="auto"/>
        <w:rPr>
          <w:rFonts w:ascii="Arial" w:hAnsi="Arial"/>
          <w:szCs w:val="20"/>
          <w:lang w:val="en-GB"/>
        </w:rPr>
      </w:pPr>
      <w:r w:rsidRPr="00077D41">
        <w:rPr>
          <w:rFonts w:ascii="Arial" w:hAnsi="Arial"/>
          <w:szCs w:val="20"/>
          <w:lang w:val="en-GB"/>
        </w:rPr>
        <w:t>Investment in land transport is feeling the pressure on the freight industry and is slowing. In April, investment in land transport equipment grew by only 5.9% year-on-year, while it was still growing by more than 30% only two months before. While imports are still standing strong, the fact that exports are underperforming could be the driving force of this decline.</w:t>
      </w:r>
    </w:p>
    <w:p w:rsidR="00077D41" w:rsidRPr="00077D41" w:rsidRDefault="00077D41" w:rsidP="00077D41">
      <w:pPr>
        <w:spacing w:line="240" w:lineRule="auto"/>
        <w:rPr>
          <w:rFonts w:ascii="Arial" w:hAnsi="Arial"/>
          <w:szCs w:val="20"/>
          <w:lang w:val="en-GB"/>
        </w:rPr>
      </w:pPr>
    </w:p>
    <w:p w:rsidR="00077D41" w:rsidRPr="00077D41" w:rsidRDefault="00077D41" w:rsidP="00077D41">
      <w:pPr>
        <w:spacing w:line="240" w:lineRule="auto"/>
        <w:rPr>
          <w:rFonts w:ascii="Arial" w:hAnsi="Arial"/>
          <w:szCs w:val="20"/>
          <w:lang w:val="en-GB"/>
        </w:rPr>
      </w:pPr>
      <w:r w:rsidRPr="00077D41">
        <w:rPr>
          <w:rFonts w:ascii="Arial" w:hAnsi="Arial"/>
          <w:szCs w:val="20"/>
          <w:lang w:val="en-GB"/>
        </w:rPr>
        <w:t>The big driver of the decline in transport equipment investment was the 26.1% year-on-year drop in investment in ships and aeroplanes. This is, however, a very volatile figure due to the large amounts involved in purchasing ships and aeroplanes. For the preceding 13 months this investment category grew by double- and sometimes triple-digits.</w:t>
      </w:r>
    </w:p>
    <w:p w:rsidR="00077D41" w:rsidRPr="00077D41" w:rsidRDefault="00077D41" w:rsidP="00077D41">
      <w:pPr>
        <w:spacing w:line="240" w:lineRule="auto"/>
        <w:rPr>
          <w:rFonts w:ascii="Arial" w:hAnsi="Arial"/>
          <w:szCs w:val="20"/>
          <w:lang w:val="en-GB"/>
        </w:rPr>
      </w:pPr>
    </w:p>
    <w:p w:rsidR="00077D41" w:rsidRPr="00077D41" w:rsidRDefault="00077D41" w:rsidP="00077D41">
      <w:pPr>
        <w:spacing w:line="240" w:lineRule="auto"/>
        <w:rPr>
          <w:rFonts w:ascii="Arial" w:hAnsi="Arial"/>
          <w:szCs w:val="20"/>
          <w:lang w:val="en-GB"/>
        </w:rPr>
      </w:pPr>
      <w:r w:rsidRPr="00077D41">
        <w:rPr>
          <w:rFonts w:ascii="Arial" w:hAnsi="Arial"/>
          <w:szCs w:val="20"/>
          <w:lang w:val="en-GB"/>
        </w:rPr>
        <w:lastRenderedPageBreak/>
        <w:t>The higher oil prices early this year might have motivated companies to purchase more fuel-efficient aircrafts, but the weaker economy in recent months means these companies could now be somewhat wary to purchase new equipment and are waiting to for the economy to play its hand.</w:t>
      </w:r>
    </w:p>
    <w:p w:rsidR="00077D41" w:rsidRPr="00077D41" w:rsidRDefault="00077D41" w:rsidP="00077D41">
      <w:pPr>
        <w:spacing w:line="240" w:lineRule="auto"/>
        <w:rPr>
          <w:rFonts w:ascii="Arial" w:hAnsi="Arial"/>
          <w:szCs w:val="20"/>
          <w:lang w:val="en-GB"/>
        </w:rPr>
      </w:pPr>
    </w:p>
    <w:p w:rsidR="00077D41" w:rsidRPr="00077D41" w:rsidRDefault="00077D41" w:rsidP="00077D41">
      <w:pPr>
        <w:spacing w:line="240" w:lineRule="auto"/>
        <w:rPr>
          <w:rFonts w:ascii="Arial" w:hAnsi="Arial"/>
          <w:szCs w:val="20"/>
          <w:lang w:val="en-GB"/>
        </w:rPr>
      </w:pPr>
      <w:r w:rsidRPr="00077D41">
        <w:rPr>
          <w:rFonts w:ascii="Arial" w:hAnsi="Arial"/>
          <w:szCs w:val="20"/>
          <w:lang w:val="en-GB"/>
        </w:rPr>
        <w:t>The weakening of the rand’s exchange rate in April also led to business holding back on purchases of ships and especially aircraft, as businesses are worried about the slow pace of increase in air travel.</w:t>
      </w:r>
    </w:p>
    <w:p w:rsidR="00077D41" w:rsidRPr="00077D41" w:rsidRDefault="00077D41" w:rsidP="00077D41">
      <w:pPr>
        <w:spacing w:line="240" w:lineRule="auto"/>
        <w:rPr>
          <w:rFonts w:ascii="Arial" w:hAnsi="Arial"/>
          <w:szCs w:val="20"/>
          <w:lang w:val="en-GB"/>
        </w:rPr>
      </w:pPr>
    </w:p>
    <w:p w:rsidR="00077D41" w:rsidRPr="00077D41" w:rsidRDefault="00077D41" w:rsidP="00077D41">
      <w:pPr>
        <w:spacing w:line="240" w:lineRule="auto"/>
        <w:rPr>
          <w:rFonts w:ascii="Arial" w:hAnsi="Arial"/>
          <w:szCs w:val="20"/>
          <w:lang w:val="en-GB"/>
        </w:rPr>
      </w:pPr>
      <w:r w:rsidRPr="00077D41">
        <w:rPr>
          <w:rFonts w:ascii="Arial" w:hAnsi="Arial"/>
          <w:szCs w:val="20"/>
          <w:lang w:val="en-GB"/>
        </w:rPr>
        <w:t>There is no doubt that the transport index will make a comeback as soon as the purchase of aircrafts resumes, which will be driven by private airlines in the next four to five years. At present these companies, and especially SAA, just do not have the money to make substantial aircraft purchases.</w:t>
      </w:r>
    </w:p>
    <w:p w:rsidR="00077D41" w:rsidRPr="00077D41" w:rsidRDefault="00077D41" w:rsidP="00077D41">
      <w:pPr>
        <w:spacing w:line="240" w:lineRule="auto"/>
        <w:rPr>
          <w:rFonts w:ascii="Arial" w:hAnsi="Arial"/>
          <w:szCs w:val="20"/>
          <w:lang w:val="en-GB"/>
        </w:rPr>
      </w:pPr>
    </w:p>
    <w:p w:rsidR="00077D41" w:rsidRPr="00077D41" w:rsidRDefault="00077D41" w:rsidP="00077D41">
      <w:pPr>
        <w:spacing w:line="240" w:lineRule="auto"/>
        <w:rPr>
          <w:rFonts w:ascii="Arial" w:hAnsi="Arial"/>
          <w:b/>
          <w:bCs/>
          <w:szCs w:val="20"/>
          <w:lang w:val="en-GB"/>
        </w:rPr>
      </w:pPr>
      <w:r w:rsidRPr="00077D41">
        <w:rPr>
          <w:rFonts w:ascii="Arial" w:hAnsi="Arial"/>
          <w:b/>
          <w:bCs/>
          <w:szCs w:val="20"/>
          <w:lang w:val="en-GB"/>
        </w:rPr>
        <w:t>RDP housing and informal building keep buildings investment afloat</w:t>
      </w:r>
    </w:p>
    <w:p w:rsidR="00077D41" w:rsidRPr="00077D41" w:rsidRDefault="00077D41" w:rsidP="00077D41">
      <w:pPr>
        <w:spacing w:line="240" w:lineRule="auto"/>
        <w:rPr>
          <w:rFonts w:ascii="Arial" w:hAnsi="Arial"/>
          <w:szCs w:val="20"/>
          <w:lang w:val="en-GB"/>
        </w:rPr>
      </w:pPr>
      <w:r w:rsidRPr="00077D41">
        <w:rPr>
          <w:rFonts w:ascii="Arial" w:hAnsi="Arial"/>
          <w:szCs w:val="20"/>
          <w:lang w:val="en-GB"/>
        </w:rPr>
        <w:t xml:space="preserve">Investment in buildings in </w:t>
      </w:r>
      <w:smartTag w:uri="urn:schemas-microsoft-com:office:smarttags" w:element="place">
        <w:smartTag w:uri="urn:schemas-microsoft-com:office:smarttags" w:element="State">
          <w:r w:rsidRPr="00077D41">
            <w:rPr>
              <w:rFonts w:ascii="Arial" w:hAnsi="Arial"/>
              <w:szCs w:val="20"/>
              <w:lang w:val="en-GB"/>
            </w:rPr>
            <w:t>KwaZulu-Natal</w:t>
          </w:r>
        </w:smartTag>
      </w:smartTag>
      <w:r w:rsidRPr="00077D41">
        <w:rPr>
          <w:rFonts w:ascii="Arial" w:hAnsi="Arial"/>
          <w:szCs w:val="20"/>
          <w:lang w:val="en-GB"/>
        </w:rPr>
        <w:t xml:space="preserve"> increased by 23% year-on-year and declined by 4.4% quarter-on-quarter, the first decline in six months. Investment in non-residential buildings was down 28% year-on-year and investment in residential buildings was down 11%. Propping up the buildings index was the 12.4% year-on-year growth in lumber sales, which shows a lot of informal building is still going on, and the 100% year-on-year increase in RDP houses built.</w:t>
      </w:r>
    </w:p>
    <w:p w:rsidR="00077D41" w:rsidRPr="00077D41" w:rsidRDefault="00077D41" w:rsidP="00077D41">
      <w:pPr>
        <w:spacing w:line="240" w:lineRule="auto"/>
        <w:rPr>
          <w:rFonts w:ascii="Arial" w:hAnsi="Arial"/>
          <w:szCs w:val="20"/>
          <w:lang w:val="en-GB"/>
        </w:rPr>
      </w:pPr>
    </w:p>
    <w:p w:rsidR="00077D41" w:rsidRPr="00077D41" w:rsidRDefault="00077D41" w:rsidP="00077D41">
      <w:pPr>
        <w:spacing w:line="240" w:lineRule="auto"/>
        <w:rPr>
          <w:rFonts w:ascii="Arial" w:hAnsi="Arial"/>
          <w:b/>
          <w:bCs/>
          <w:szCs w:val="20"/>
          <w:lang w:val="en-GB"/>
        </w:rPr>
      </w:pPr>
      <w:r w:rsidRPr="00077D41">
        <w:rPr>
          <w:rFonts w:ascii="Arial" w:hAnsi="Arial"/>
          <w:b/>
          <w:bCs/>
          <w:szCs w:val="20"/>
          <w:lang w:val="en-GB"/>
        </w:rPr>
        <w:t>Civil construction investment slowing, but still on route</w:t>
      </w:r>
    </w:p>
    <w:p w:rsidR="00077D41" w:rsidRPr="00077D41" w:rsidRDefault="00077D41" w:rsidP="00077D41">
      <w:pPr>
        <w:spacing w:line="240" w:lineRule="auto"/>
        <w:rPr>
          <w:rFonts w:ascii="Arial" w:hAnsi="Arial"/>
          <w:szCs w:val="20"/>
          <w:lang w:val="en-GB"/>
        </w:rPr>
      </w:pPr>
      <w:r w:rsidRPr="00077D41">
        <w:rPr>
          <w:rFonts w:ascii="Arial" w:hAnsi="Arial"/>
          <w:szCs w:val="20"/>
          <w:lang w:val="en-GB"/>
        </w:rPr>
        <w:t xml:space="preserve">Investment in civil construction slowed in April, but was still positive year-on-year and quarter-on-quarter, by 17.4% and 9% respectively. The growth was driven by a 27.4% increase in imported civil construction material, which was down from its peak growth of 46% in February. Investment in structural steel was up 6.7%, which shows roads and bridges are still being built. Due to the continued lack of up-to-date data for asphalt and bitumen sales, the investment in roads as part of civil construction is difficult to measure, but some road construction is happening in </w:t>
      </w:r>
      <w:smartTag w:uri="urn:schemas-microsoft-com:office:smarttags" w:element="place">
        <w:smartTag w:uri="urn:schemas-microsoft-com:office:smarttags" w:element="State">
          <w:r w:rsidRPr="00077D41">
            <w:rPr>
              <w:rFonts w:ascii="Arial" w:hAnsi="Arial"/>
              <w:szCs w:val="20"/>
              <w:lang w:val="en-GB"/>
            </w:rPr>
            <w:t>KwaZulu-Natal</w:t>
          </w:r>
        </w:smartTag>
      </w:smartTag>
      <w:r w:rsidRPr="00077D41">
        <w:rPr>
          <w:rFonts w:ascii="Arial" w:hAnsi="Arial"/>
          <w:szCs w:val="20"/>
          <w:lang w:val="en-GB"/>
        </w:rPr>
        <w:t>.</w:t>
      </w:r>
    </w:p>
    <w:p w:rsidR="00077D41" w:rsidRPr="00077D41" w:rsidRDefault="00077D41" w:rsidP="00077D41">
      <w:pPr>
        <w:spacing w:line="240" w:lineRule="auto"/>
        <w:rPr>
          <w:rFonts w:ascii="Arial" w:hAnsi="Arial"/>
          <w:szCs w:val="20"/>
          <w:lang w:val="en-GB"/>
        </w:rPr>
      </w:pPr>
    </w:p>
    <w:p w:rsidR="00077D41" w:rsidRPr="00077D41" w:rsidRDefault="00077D41" w:rsidP="00077D41">
      <w:pPr>
        <w:spacing w:line="240" w:lineRule="auto"/>
        <w:rPr>
          <w:rFonts w:ascii="Arial" w:hAnsi="Arial"/>
          <w:b/>
          <w:bCs/>
          <w:szCs w:val="20"/>
          <w:lang w:val="en-GB"/>
        </w:rPr>
      </w:pPr>
      <w:r w:rsidRPr="00077D41">
        <w:rPr>
          <w:rFonts w:ascii="Arial" w:hAnsi="Arial"/>
          <w:b/>
          <w:bCs/>
          <w:szCs w:val="20"/>
          <w:lang w:val="en-GB"/>
        </w:rPr>
        <w:t>Transfers investment still in recovery</w:t>
      </w:r>
    </w:p>
    <w:p w:rsidR="00077D41" w:rsidRPr="00077D41" w:rsidRDefault="00077D41" w:rsidP="00077D41">
      <w:pPr>
        <w:spacing w:line="240" w:lineRule="auto"/>
        <w:rPr>
          <w:rFonts w:ascii="Arial" w:hAnsi="Arial"/>
          <w:szCs w:val="20"/>
          <w:lang w:val="en-GB"/>
        </w:rPr>
      </w:pPr>
      <w:r w:rsidRPr="00077D41">
        <w:rPr>
          <w:rFonts w:ascii="Arial" w:hAnsi="Arial"/>
          <w:szCs w:val="20"/>
          <w:lang w:val="en-GB"/>
        </w:rPr>
        <w:t xml:space="preserve">Investment in transfers grew by 3.1% year-on-year and declined by 4.4% quarter-on-quarter. Generally speaking the property market in </w:t>
      </w:r>
      <w:smartTag w:uri="urn:schemas-microsoft-com:office:smarttags" w:element="place">
        <w:smartTag w:uri="urn:schemas-microsoft-com:office:smarttags" w:element="country-region">
          <w:r w:rsidRPr="00077D41">
            <w:rPr>
              <w:rFonts w:ascii="Arial" w:hAnsi="Arial"/>
              <w:szCs w:val="20"/>
              <w:lang w:val="en-GB"/>
            </w:rPr>
            <w:t>South Africa</w:t>
          </w:r>
        </w:smartTag>
      </w:smartTag>
      <w:r w:rsidRPr="00077D41">
        <w:rPr>
          <w:rFonts w:ascii="Arial" w:hAnsi="Arial"/>
          <w:szCs w:val="20"/>
          <w:lang w:val="en-GB"/>
        </w:rPr>
        <w:t xml:space="preserve"> is still only at half the level it was before the great recession of 2008 and 2009. Although there is some growth from time to time in the property market, it will remain in recovery mode for much longer than most people anticipated.</w:t>
      </w:r>
    </w:p>
    <w:p w:rsidR="00077D41" w:rsidRPr="00077D41" w:rsidRDefault="00077D41" w:rsidP="00077D41">
      <w:pPr>
        <w:spacing w:line="240" w:lineRule="auto"/>
        <w:rPr>
          <w:rFonts w:ascii="Arial" w:hAnsi="Arial"/>
          <w:szCs w:val="20"/>
          <w:lang w:val="en-GB"/>
        </w:rPr>
      </w:pPr>
      <w:r w:rsidRPr="00077D41">
        <w:rPr>
          <w:rFonts w:ascii="Arial" w:hAnsi="Arial"/>
          <w:szCs w:val="20"/>
          <w:lang w:val="en-GB"/>
        </w:rPr>
        <w:t>This means that although investment in transfers only contribute 2% to the KwaZulu-Natal fixed investment monitor, and may from time to time show a lot of volatility, it will increasingly become a leading indicator to the building and construction sectors, especially on the residential building side.</w:t>
      </w:r>
    </w:p>
    <w:p w:rsidR="00077D41" w:rsidRPr="00077D41" w:rsidRDefault="00077D41" w:rsidP="00077D41">
      <w:pPr>
        <w:spacing w:line="240" w:lineRule="auto"/>
        <w:rPr>
          <w:rFonts w:ascii="Arial" w:hAnsi="Arial"/>
          <w:szCs w:val="20"/>
          <w:lang w:val="en-GB"/>
        </w:rPr>
      </w:pPr>
    </w:p>
    <w:p w:rsidR="00077D41" w:rsidRPr="00077D41" w:rsidRDefault="00077D41" w:rsidP="00077D41">
      <w:pPr>
        <w:spacing w:line="240" w:lineRule="auto"/>
        <w:rPr>
          <w:rFonts w:ascii="Arial" w:hAnsi="Arial"/>
          <w:b/>
          <w:bCs/>
          <w:szCs w:val="20"/>
          <w:lang w:val="en-GB"/>
        </w:rPr>
      </w:pPr>
      <w:r w:rsidRPr="00077D41">
        <w:rPr>
          <w:rFonts w:ascii="Arial" w:hAnsi="Arial"/>
          <w:b/>
          <w:bCs/>
          <w:szCs w:val="20"/>
          <w:lang w:val="en-GB"/>
        </w:rPr>
        <w:t>ICT equipment investment slowing due to weak rand and economy uncertainties</w:t>
      </w:r>
    </w:p>
    <w:p w:rsidR="00077D41" w:rsidRPr="00077D41" w:rsidRDefault="00077D41" w:rsidP="00077D41">
      <w:pPr>
        <w:spacing w:line="240" w:lineRule="auto"/>
        <w:rPr>
          <w:rFonts w:ascii="Arial" w:hAnsi="Arial"/>
          <w:szCs w:val="20"/>
          <w:lang w:val="en-GB"/>
        </w:rPr>
      </w:pPr>
      <w:r w:rsidRPr="00077D41">
        <w:rPr>
          <w:rFonts w:ascii="Arial" w:hAnsi="Arial"/>
          <w:szCs w:val="20"/>
          <w:lang w:val="en-GB"/>
        </w:rPr>
        <w:t xml:space="preserve">Investment in ICT equipment in KwaZulu-Natal grew by 10.1% year-on-year – the slowest growth in eight months – and fell by 15.3% quarter-on-quarter. The quarter-on-quarter decline could be due to businesses holding back on purchases in the light of the weaker rand. There has also been a lot of pre-emptive buying in anticipation of the weaker rand, as well as massive ICT investment across SA with specific investment between the coastline of </w:t>
      </w:r>
      <w:smartTag w:uri="urn:schemas-microsoft-com:office:smarttags" w:element="place">
        <w:smartTag w:uri="urn:schemas-microsoft-com:office:smarttags" w:element="State">
          <w:r w:rsidRPr="00077D41">
            <w:rPr>
              <w:rFonts w:ascii="Arial" w:hAnsi="Arial"/>
              <w:szCs w:val="20"/>
              <w:lang w:val="en-GB"/>
            </w:rPr>
            <w:t>KwaZulu-Natal</w:t>
          </w:r>
        </w:smartTag>
      </w:smartTag>
      <w:r w:rsidRPr="00077D41">
        <w:rPr>
          <w:rFonts w:ascii="Arial" w:hAnsi="Arial"/>
          <w:szCs w:val="20"/>
          <w:lang w:val="en-GB"/>
        </w:rPr>
        <w:t xml:space="preserve"> and </w:t>
      </w:r>
      <w:smartTag w:uri="urn:schemas-microsoft-com:office:smarttags" w:element="place">
        <w:smartTag w:uri="urn:schemas-microsoft-com:office:smarttags" w:element="State">
          <w:r w:rsidRPr="00077D41">
            <w:rPr>
              <w:rFonts w:ascii="Arial" w:hAnsi="Arial"/>
              <w:szCs w:val="20"/>
              <w:lang w:val="en-GB"/>
            </w:rPr>
            <w:t>Gauteng</w:t>
          </w:r>
        </w:smartTag>
      </w:smartTag>
      <w:r w:rsidRPr="00077D41">
        <w:rPr>
          <w:rFonts w:ascii="Arial" w:hAnsi="Arial"/>
          <w:szCs w:val="20"/>
          <w:lang w:val="en-GB"/>
        </w:rPr>
        <w:t>. This may now be coming to an end. Many businesses are waiting to see how the market plays out, as the predominant growth in the ICT sector at the moment is in mobile internet connections and cell phones. Businesses are holding back and waiting for newer products to arrive before investing.</w:t>
      </w:r>
    </w:p>
    <w:p w:rsidR="00077D41" w:rsidRPr="00077D41" w:rsidRDefault="00077D41" w:rsidP="00077D41">
      <w:pPr>
        <w:spacing w:line="240" w:lineRule="auto"/>
        <w:rPr>
          <w:rFonts w:ascii="Arial" w:hAnsi="Arial"/>
          <w:szCs w:val="20"/>
          <w:lang w:val="en-GB"/>
        </w:rPr>
      </w:pPr>
    </w:p>
    <w:p w:rsidR="00077D41" w:rsidRPr="00077D41" w:rsidRDefault="00077D41" w:rsidP="00077D41">
      <w:pPr>
        <w:spacing w:line="240" w:lineRule="auto"/>
        <w:rPr>
          <w:rFonts w:ascii="Arial" w:hAnsi="Arial"/>
          <w:b/>
          <w:bCs/>
          <w:szCs w:val="20"/>
          <w:lang w:val="en-GB"/>
        </w:rPr>
      </w:pPr>
      <w:r w:rsidRPr="00077D41">
        <w:rPr>
          <w:rFonts w:ascii="Arial" w:hAnsi="Arial"/>
          <w:b/>
          <w:bCs/>
          <w:szCs w:val="20"/>
          <w:lang w:val="en-GB"/>
        </w:rPr>
        <w:t>Bullish outlook for machinery investment</w:t>
      </w:r>
    </w:p>
    <w:p w:rsidR="00077D41" w:rsidRPr="00077D41" w:rsidRDefault="00077D41" w:rsidP="00077D41">
      <w:pPr>
        <w:spacing w:line="240" w:lineRule="auto"/>
        <w:rPr>
          <w:rFonts w:ascii="Arial" w:hAnsi="Arial"/>
          <w:szCs w:val="20"/>
          <w:lang w:val="en-GB"/>
        </w:rPr>
      </w:pPr>
      <w:r w:rsidRPr="00077D41">
        <w:rPr>
          <w:rFonts w:ascii="Arial" w:hAnsi="Arial"/>
          <w:szCs w:val="20"/>
          <w:lang w:val="en-GB"/>
        </w:rPr>
        <w:t>Investment in machinery also saw the effect of pre-emptive buying in anticipation of a weaker rand. In this case, however, imported machinery purchases are still being made. Investment in machinery grew by 20.9% year-on-year, but was basically unchanged on a quarter-on-quarter basis. Investment in imported machinery will probably suffer a temporary slowdown or even decline for a month or three from the high base of pre-emptive buying. One of the upshots of the high levels of imported machinery is that businesses are still upgrading their factories and machinery. They seem to be getting ready for a potential uptick in local and export markets, which will benefit from a weaker rand.</w:t>
      </w:r>
    </w:p>
    <w:p w:rsidR="00077D41" w:rsidRDefault="00077D41" w:rsidP="00077D41">
      <w:pPr>
        <w:spacing w:line="240" w:lineRule="auto"/>
        <w:rPr>
          <w:rFonts w:ascii="Arial" w:hAnsi="Arial"/>
          <w:szCs w:val="20"/>
        </w:rPr>
      </w:pPr>
    </w:p>
    <w:p w:rsidR="00077D41" w:rsidRDefault="00077D41" w:rsidP="00077D41">
      <w:pPr>
        <w:spacing w:line="240" w:lineRule="auto"/>
        <w:rPr>
          <w:rFonts w:ascii="Arial" w:hAnsi="Arial"/>
          <w:b/>
          <w:szCs w:val="20"/>
        </w:rPr>
      </w:pPr>
      <w:r w:rsidRPr="00077D41">
        <w:rPr>
          <w:rFonts w:ascii="Arial" w:hAnsi="Arial"/>
          <w:b/>
          <w:szCs w:val="20"/>
        </w:rPr>
        <w:t>Results Table:</w:t>
      </w:r>
    </w:p>
    <w:p w:rsidR="00077D41" w:rsidRPr="00077D41" w:rsidRDefault="00077D41" w:rsidP="00077D41">
      <w:pPr>
        <w:spacing w:line="240" w:lineRule="auto"/>
        <w:rPr>
          <w:rFonts w:ascii="Arial" w:hAnsi="Arial"/>
          <w:b/>
          <w:szCs w:val="20"/>
        </w:rPr>
      </w:pPr>
    </w:p>
    <w:tbl>
      <w:tblPr>
        <w:tblW w:w="8320" w:type="dxa"/>
        <w:tblInd w:w="93" w:type="dxa"/>
        <w:tblLook w:val="04A0"/>
      </w:tblPr>
      <w:tblGrid>
        <w:gridCol w:w="3740"/>
        <w:gridCol w:w="2480"/>
        <w:gridCol w:w="2100"/>
      </w:tblGrid>
      <w:tr w:rsidR="00077D41" w:rsidRPr="00077D41" w:rsidTr="00077D41">
        <w:trPr>
          <w:trHeight w:val="1215"/>
        </w:trPr>
        <w:tc>
          <w:tcPr>
            <w:tcW w:w="3740" w:type="dxa"/>
            <w:tcBorders>
              <w:top w:val="single" w:sz="8" w:space="0" w:color="auto"/>
              <w:left w:val="single" w:sz="8" w:space="0" w:color="auto"/>
              <w:bottom w:val="nil"/>
              <w:right w:val="single" w:sz="8" w:space="0" w:color="auto"/>
            </w:tcBorders>
            <w:shd w:val="clear" w:color="9BBB59" w:fill="9BBB59"/>
            <w:vAlign w:val="bottom"/>
            <w:hideMark/>
          </w:tcPr>
          <w:p w:rsidR="00077D41" w:rsidRPr="00077D41" w:rsidRDefault="00077D41" w:rsidP="00077D41">
            <w:pPr>
              <w:spacing w:line="240" w:lineRule="auto"/>
              <w:jc w:val="center"/>
              <w:rPr>
                <w:rFonts w:ascii="Arial" w:eastAsia="Times New Roman" w:hAnsi="Arial"/>
                <w:b/>
                <w:bCs/>
                <w:color w:val="auto"/>
                <w:sz w:val="24"/>
                <w:szCs w:val="24"/>
                <w:lang w:val="en-ZA" w:eastAsia="en-ZA"/>
              </w:rPr>
            </w:pPr>
            <w:r w:rsidRPr="00077D41">
              <w:rPr>
                <w:rFonts w:ascii="Arial" w:eastAsia="Times New Roman" w:hAnsi="Arial"/>
                <w:b/>
                <w:bCs/>
                <w:color w:val="auto"/>
                <w:sz w:val="24"/>
                <w:szCs w:val="24"/>
                <w:lang w:val="en-ZA" w:eastAsia="en-ZA"/>
              </w:rPr>
              <w:lastRenderedPageBreak/>
              <w:t>Main and sub-indices</w:t>
            </w:r>
            <w:bookmarkStart w:id="0" w:name="_GoBack"/>
            <w:bookmarkEnd w:id="0"/>
            <w:r w:rsidRPr="00077D41">
              <w:rPr>
                <w:rFonts w:ascii="Arial" w:eastAsia="Times New Roman" w:hAnsi="Arial"/>
                <w:b/>
                <w:bCs/>
                <w:color w:val="auto"/>
                <w:sz w:val="24"/>
                <w:szCs w:val="24"/>
                <w:lang w:val="en-ZA" w:eastAsia="en-ZA"/>
              </w:rPr>
              <w:t xml:space="preserve"> of the Kwa-Zulu Investment Monitor</w:t>
            </w:r>
          </w:p>
        </w:tc>
        <w:tc>
          <w:tcPr>
            <w:tcW w:w="2480" w:type="dxa"/>
            <w:tcBorders>
              <w:top w:val="single" w:sz="8" w:space="0" w:color="auto"/>
              <w:left w:val="single" w:sz="8" w:space="0" w:color="auto"/>
              <w:bottom w:val="nil"/>
              <w:right w:val="single" w:sz="8" w:space="0" w:color="auto"/>
            </w:tcBorders>
            <w:shd w:val="clear" w:color="9BBB59" w:fill="9BBB59"/>
            <w:vAlign w:val="bottom"/>
            <w:hideMark/>
          </w:tcPr>
          <w:p w:rsidR="00077D41" w:rsidRPr="00077D41" w:rsidRDefault="00077D41" w:rsidP="00077D41">
            <w:pPr>
              <w:spacing w:line="240" w:lineRule="auto"/>
              <w:jc w:val="center"/>
              <w:rPr>
                <w:rFonts w:ascii="Arial" w:eastAsia="Times New Roman" w:hAnsi="Arial"/>
                <w:b/>
                <w:bCs/>
                <w:color w:val="auto"/>
                <w:sz w:val="24"/>
                <w:szCs w:val="24"/>
                <w:lang w:val="en-ZA" w:eastAsia="en-ZA"/>
              </w:rPr>
            </w:pPr>
            <w:r w:rsidRPr="00077D41">
              <w:rPr>
                <w:rFonts w:ascii="Arial" w:eastAsia="Times New Roman" w:hAnsi="Arial"/>
                <w:b/>
                <w:bCs/>
                <w:color w:val="auto"/>
                <w:sz w:val="24"/>
                <w:szCs w:val="24"/>
                <w:lang w:val="en-ZA" w:eastAsia="en-ZA"/>
              </w:rPr>
              <w:t>% Change on a year ago</w:t>
            </w:r>
          </w:p>
        </w:tc>
        <w:tc>
          <w:tcPr>
            <w:tcW w:w="2100" w:type="dxa"/>
            <w:tcBorders>
              <w:top w:val="single" w:sz="8" w:space="0" w:color="auto"/>
              <w:left w:val="single" w:sz="8" w:space="0" w:color="auto"/>
              <w:bottom w:val="nil"/>
              <w:right w:val="single" w:sz="8" w:space="0" w:color="auto"/>
            </w:tcBorders>
            <w:shd w:val="clear" w:color="9BBB59" w:fill="9BBB59"/>
            <w:vAlign w:val="bottom"/>
            <w:hideMark/>
          </w:tcPr>
          <w:p w:rsidR="00077D41" w:rsidRPr="00077D41" w:rsidRDefault="00077D41" w:rsidP="00077D41">
            <w:pPr>
              <w:spacing w:line="240" w:lineRule="auto"/>
              <w:jc w:val="center"/>
              <w:rPr>
                <w:rFonts w:ascii="Arial" w:eastAsia="Times New Roman" w:hAnsi="Arial"/>
                <w:b/>
                <w:bCs/>
                <w:color w:val="auto"/>
                <w:sz w:val="24"/>
                <w:szCs w:val="24"/>
                <w:lang w:val="en-ZA" w:eastAsia="en-ZA"/>
              </w:rPr>
            </w:pPr>
            <w:r w:rsidRPr="00077D41">
              <w:rPr>
                <w:rFonts w:ascii="Arial" w:eastAsia="Times New Roman" w:hAnsi="Arial"/>
                <w:b/>
                <w:bCs/>
                <w:color w:val="auto"/>
                <w:sz w:val="24"/>
                <w:szCs w:val="24"/>
                <w:lang w:val="en-ZA" w:eastAsia="en-ZA"/>
              </w:rPr>
              <w:t>% Change from a  quarter ago</w:t>
            </w:r>
          </w:p>
        </w:tc>
      </w:tr>
      <w:tr w:rsidR="00077D41" w:rsidRPr="00077D41" w:rsidTr="00077D41">
        <w:trPr>
          <w:trHeight w:val="300"/>
        </w:trPr>
        <w:tc>
          <w:tcPr>
            <w:tcW w:w="3740" w:type="dxa"/>
            <w:tcBorders>
              <w:top w:val="single" w:sz="4" w:space="0" w:color="9BBB59"/>
              <w:left w:val="single" w:sz="4" w:space="0" w:color="9BBB59"/>
              <w:bottom w:val="nil"/>
              <w:right w:val="nil"/>
            </w:tcBorders>
            <w:shd w:val="clear" w:color="auto" w:fill="auto"/>
            <w:noWrap/>
            <w:vAlign w:val="bottom"/>
            <w:hideMark/>
          </w:tcPr>
          <w:p w:rsidR="00077D41" w:rsidRPr="00077D41" w:rsidRDefault="00077D41" w:rsidP="00077D41">
            <w:pPr>
              <w:spacing w:line="240" w:lineRule="auto"/>
              <w:jc w:val="left"/>
              <w:rPr>
                <w:rFonts w:ascii="Calibri" w:eastAsia="Times New Roman" w:hAnsi="Calibri" w:cs="Calibri"/>
                <w:b/>
                <w:bCs/>
                <w:color w:val="000000"/>
                <w:sz w:val="22"/>
                <w:szCs w:val="22"/>
                <w:lang w:val="en-ZA" w:eastAsia="en-ZA"/>
              </w:rPr>
            </w:pPr>
            <w:r w:rsidRPr="00077D41">
              <w:rPr>
                <w:rFonts w:ascii="Calibri" w:eastAsia="Times New Roman" w:hAnsi="Calibri" w:cs="Calibri"/>
                <w:b/>
                <w:bCs/>
                <w:color w:val="000000"/>
                <w:sz w:val="22"/>
                <w:szCs w:val="22"/>
                <w:lang w:val="en-ZA" w:eastAsia="en-ZA"/>
              </w:rPr>
              <w:t>Transport Equipment</w:t>
            </w:r>
          </w:p>
        </w:tc>
        <w:tc>
          <w:tcPr>
            <w:tcW w:w="2480" w:type="dxa"/>
            <w:tcBorders>
              <w:top w:val="single" w:sz="4" w:space="0" w:color="9BBB59"/>
              <w:left w:val="nil"/>
              <w:bottom w:val="nil"/>
              <w:right w:val="nil"/>
            </w:tcBorders>
            <w:shd w:val="clear" w:color="000000" w:fill="FF0000"/>
            <w:noWrap/>
            <w:vAlign w:val="bottom"/>
            <w:hideMark/>
          </w:tcPr>
          <w:p w:rsidR="00077D41" w:rsidRPr="00077D41" w:rsidRDefault="00077D41" w:rsidP="00077D41">
            <w:pPr>
              <w:spacing w:line="240" w:lineRule="auto"/>
              <w:jc w:val="right"/>
              <w:rPr>
                <w:rFonts w:ascii="Calibri" w:eastAsia="Times New Roman" w:hAnsi="Calibri" w:cs="Calibri"/>
                <w:color w:val="auto"/>
                <w:sz w:val="22"/>
                <w:szCs w:val="22"/>
                <w:lang w:val="en-ZA" w:eastAsia="en-ZA"/>
              </w:rPr>
            </w:pPr>
            <w:r w:rsidRPr="00077D41">
              <w:rPr>
                <w:rFonts w:ascii="Calibri" w:eastAsia="Times New Roman" w:hAnsi="Calibri" w:cs="Calibri"/>
                <w:color w:val="auto"/>
                <w:sz w:val="22"/>
                <w:szCs w:val="22"/>
                <w:lang w:val="en-ZA" w:eastAsia="en-ZA"/>
              </w:rPr>
              <w:t>-9.1%</w:t>
            </w:r>
          </w:p>
        </w:tc>
        <w:tc>
          <w:tcPr>
            <w:tcW w:w="2100" w:type="dxa"/>
            <w:tcBorders>
              <w:top w:val="single" w:sz="4" w:space="0" w:color="9BBB59"/>
              <w:left w:val="nil"/>
              <w:bottom w:val="nil"/>
              <w:right w:val="single" w:sz="4" w:space="0" w:color="9BBB59"/>
            </w:tcBorders>
            <w:shd w:val="clear" w:color="000000" w:fill="FF0000"/>
            <w:noWrap/>
            <w:vAlign w:val="bottom"/>
            <w:hideMark/>
          </w:tcPr>
          <w:p w:rsidR="00077D41" w:rsidRPr="00077D41" w:rsidRDefault="00077D41" w:rsidP="00077D41">
            <w:pPr>
              <w:spacing w:line="240" w:lineRule="auto"/>
              <w:jc w:val="right"/>
              <w:rPr>
                <w:rFonts w:ascii="Calibri" w:eastAsia="Times New Roman" w:hAnsi="Calibri" w:cs="Calibri"/>
                <w:color w:val="auto"/>
                <w:sz w:val="22"/>
                <w:szCs w:val="22"/>
                <w:lang w:val="en-ZA" w:eastAsia="en-ZA"/>
              </w:rPr>
            </w:pPr>
            <w:r w:rsidRPr="00077D41">
              <w:rPr>
                <w:rFonts w:ascii="Calibri" w:eastAsia="Times New Roman" w:hAnsi="Calibri" w:cs="Calibri"/>
                <w:color w:val="auto"/>
                <w:sz w:val="22"/>
                <w:szCs w:val="22"/>
                <w:lang w:val="en-ZA" w:eastAsia="en-ZA"/>
              </w:rPr>
              <w:t>-19.6%</w:t>
            </w:r>
          </w:p>
        </w:tc>
      </w:tr>
      <w:tr w:rsidR="00077D41" w:rsidRPr="00077D41" w:rsidTr="00077D41">
        <w:trPr>
          <w:trHeight w:val="300"/>
        </w:trPr>
        <w:tc>
          <w:tcPr>
            <w:tcW w:w="3740" w:type="dxa"/>
            <w:tcBorders>
              <w:top w:val="single" w:sz="4" w:space="0" w:color="9BBB59"/>
              <w:left w:val="single" w:sz="4" w:space="0" w:color="9BBB59"/>
              <w:bottom w:val="nil"/>
              <w:right w:val="nil"/>
            </w:tcBorders>
            <w:shd w:val="clear" w:color="auto" w:fill="auto"/>
            <w:noWrap/>
            <w:vAlign w:val="bottom"/>
            <w:hideMark/>
          </w:tcPr>
          <w:p w:rsidR="00077D41" w:rsidRPr="00077D41" w:rsidRDefault="00077D41" w:rsidP="00077D41">
            <w:pPr>
              <w:spacing w:line="240" w:lineRule="auto"/>
              <w:jc w:val="left"/>
              <w:rPr>
                <w:rFonts w:ascii="Calibri" w:eastAsia="Times New Roman" w:hAnsi="Calibri" w:cs="Calibri"/>
                <w:b/>
                <w:bCs/>
                <w:color w:val="000000"/>
                <w:sz w:val="22"/>
                <w:szCs w:val="22"/>
                <w:lang w:val="en-ZA" w:eastAsia="en-ZA"/>
              </w:rPr>
            </w:pPr>
            <w:r w:rsidRPr="00077D41">
              <w:rPr>
                <w:rFonts w:ascii="Calibri" w:eastAsia="Times New Roman" w:hAnsi="Calibri" w:cs="Calibri"/>
                <w:b/>
                <w:bCs/>
                <w:color w:val="000000"/>
                <w:sz w:val="22"/>
                <w:szCs w:val="22"/>
                <w:lang w:val="en-ZA" w:eastAsia="en-ZA"/>
              </w:rPr>
              <w:t>Buildings</w:t>
            </w:r>
          </w:p>
        </w:tc>
        <w:tc>
          <w:tcPr>
            <w:tcW w:w="2480" w:type="dxa"/>
            <w:tcBorders>
              <w:top w:val="single" w:sz="4" w:space="0" w:color="9BBB59"/>
              <w:left w:val="nil"/>
              <w:bottom w:val="nil"/>
              <w:right w:val="nil"/>
            </w:tcBorders>
            <w:shd w:val="clear" w:color="000000" w:fill="00B050"/>
            <w:noWrap/>
            <w:vAlign w:val="bottom"/>
            <w:hideMark/>
          </w:tcPr>
          <w:p w:rsidR="00077D41" w:rsidRPr="00077D41" w:rsidRDefault="00077D41" w:rsidP="00077D41">
            <w:pPr>
              <w:spacing w:line="240" w:lineRule="auto"/>
              <w:jc w:val="right"/>
              <w:rPr>
                <w:rFonts w:ascii="Calibri" w:eastAsia="Times New Roman" w:hAnsi="Calibri" w:cs="Calibri"/>
                <w:color w:val="auto"/>
                <w:sz w:val="22"/>
                <w:szCs w:val="22"/>
                <w:lang w:val="en-ZA" w:eastAsia="en-ZA"/>
              </w:rPr>
            </w:pPr>
            <w:r w:rsidRPr="00077D41">
              <w:rPr>
                <w:rFonts w:ascii="Calibri" w:eastAsia="Times New Roman" w:hAnsi="Calibri" w:cs="Calibri"/>
                <w:color w:val="auto"/>
                <w:sz w:val="22"/>
                <w:szCs w:val="22"/>
                <w:lang w:val="en-ZA" w:eastAsia="en-ZA"/>
              </w:rPr>
              <w:t>23.0%</w:t>
            </w:r>
          </w:p>
        </w:tc>
        <w:tc>
          <w:tcPr>
            <w:tcW w:w="2100" w:type="dxa"/>
            <w:tcBorders>
              <w:top w:val="single" w:sz="4" w:space="0" w:color="9BBB59"/>
              <w:left w:val="nil"/>
              <w:bottom w:val="nil"/>
              <w:right w:val="single" w:sz="4" w:space="0" w:color="9BBB59"/>
            </w:tcBorders>
            <w:shd w:val="clear" w:color="000000" w:fill="FF0000"/>
            <w:noWrap/>
            <w:vAlign w:val="bottom"/>
            <w:hideMark/>
          </w:tcPr>
          <w:p w:rsidR="00077D41" w:rsidRPr="00077D41" w:rsidRDefault="00077D41" w:rsidP="00077D41">
            <w:pPr>
              <w:spacing w:line="240" w:lineRule="auto"/>
              <w:jc w:val="right"/>
              <w:rPr>
                <w:rFonts w:ascii="Calibri" w:eastAsia="Times New Roman" w:hAnsi="Calibri" w:cs="Calibri"/>
                <w:color w:val="auto"/>
                <w:sz w:val="22"/>
                <w:szCs w:val="22"/>
                <w:lang w:val="en-ZA" w:eastAsia="en-ZA"/>
              </w:rPr>
            </w:pPr>
            <w:r w:rsidRPr="00077D41">
              <w:rPr>
                <w:rFonts w:ascii="Calibri" w:eastAsia="Times New Roman" w:hAnsi="Calibri" w:cs="Calibri"/>
                <w:color w:val="auto"/>
                <w:sz w:val="22"/>
                <w:szCs w:val="22"/>
                <w:lang w:val="en-ZA" w:eastAsia="en-ZA"/>
              </w:rPr>
              <w:t>-4.4%</w:t>
            </w:r>
          </w:p>
        </w:tc>
      </w:tr>
      <w:tr w:rsidR="00077D41" w:rsidRPr="00077D41" w:rsidTr="00077D41">
        <w:trPr>
          <w:trHeight w:val="288"/>
        </w:trPr>
        <w:tc>
          <w:tcPr>
            <w:tcW w:w="3740" w:type="dxa"/>
            <w:tcBorders>
              <w:top w:val="single" w:sz="4" w:space="0" w:color="9BBB59"/>
              <w:left w:val="single" w:sz="4" w:space="0" w:color="9BBB59"/>
              <w:bottom w:val="nil"/>
              <w:right w:val="nil"/>
            </w:tcBorders>
            <w:shd w:val="clear" w:color="auto" w:fill="auto"/>
            <w:noWrap/>
            <w:vAlign w:val="bottom"/>
            <w:hideMark/>
          </w:tcPr>
          <w:p w:rsidR="00077D41" w:rsidRPr="00077D41" w:rsidRDefault="00077D41" w:rsidP="00077D41">
            <w:pPr>
              <w:spacing w:line="240" w:lineRule="auto"/>
              <w:jc w:val="left"/>
              <w:rPr>
                <w:rFonts w:ascii="Calibri" w:eastAsia="Times New Roman" w:hAnsi="Calibri" w:cs="Calibri"/>
                <w:b/>
                <w:bCs/>
                <w:color w:val="000000"/>
                <w:sz w:val="22"/>
                <w:szCs w:val="22"/>
                <w:lang w:val="en-ZA" w:eastAsia="en-ZA"/>
              </w:rPr>
            </w:pPr>
            <w:r w:rsidRPr="00077D41">
              <w:rPr>
                <w:rFonts w:ascii="Calibri" w:eastAsia="Times New Roman" w:hAnsi="Calibri" w:cs="Calibri"/>
                <w:b/>
                <w:bCs/>
                <w:color w:val="000000"/>
                <w:sz w:val="22"/>
                <w:szCs w:val="22"/>
                <w:lang w:val="en-ZA" w:eastAsia="en-ZA"/>
              </w:rPr>
              <w:t>Civil Construction</w:t>
            </w:r>
          </w:p>
        </w:tc>
        <w:tc>
          <w:tcPr>
            <w:tcW w:w="2480" w:type="dxa"/>
            <w:tcBorders>
              <w:top w:val="single" w:sz="4" w:space="0" w:color="9BBB59"/>
              <w:left w:val="nil"/>
              <w:bottom w:val="nil"/>
              <w:right w:val="nil"/>
            </w:tcBorders>
            <w:shd w:val="clear" w:color="000000" w:fill="00B050"/>
            <w:noWrap/>
            <w:vAlign w:val="bottom"/>
            <w:hideMark/>
          </w:tcPr>
          <w:p w:rsidR="00077D41" w:rsidRPr="00077D41" w:rsidRDefault="00077D41" w:rsidP="00077D41">
            <w:pPr>
              <w:spacing w:line="240" w:lineRule="auto"/>
              <w:jc w:val="right"/>
              <w:rPr>
                <w:rFonts w:ascii="Calibri" w:eastAsia="Times New Roman" w:hAnsi="Calibri" w:cs="Calibri"/>
                <w:color w:val="auto"/>
                <w:sz w:val="22"/>
                <w:szCs w:val="22"/>
                <w:lang w:val="en-ZA" w:eastAsia="en-ZA"/>
              </w:rPr>
            </w:pPr>
            <w:r w:rsidRPr="00077D41">
              <w:rPr>
                <w:rFonts w:ascii="Calibri" w:eastAsia="Times New Roman" w:hAnsi="Calibri" w:cs="Calibri"/>
                <w:color w:val="auto"/>
                <w:sz w:val="22"/>
                <w:szCs w:val="22"/>
                <w:lang w:val="en-ZA" w:eastAsia="en-ZA"/>
              </w:rPr>
              <w:t>17.4%</w:t>
            </w:r>
          </w:p>
        </w:tc>
        <w:tc>
          <w:tcPr>
            <w:tcW w:w="2100" w:type="dxa"/>
            <w:tcBorders>
              <w:top w:val="single" w:sz="4" w:space="0" w:color="9BBB59"/>
              <w:left w:val="nil"/>
              <w:bottom w:val="nil"/>
              <w:right w:val="single" w:sz="4" w:space="0" w:color="9BBB59"/>
            </w:tcBorders>
            <w:shd w:val="clear" w:color="000000" w:fill="00B050"/>
            <w:noWrap/>
            <w:vAlign w:val="bottom"/>
            <w:hideMark/>
          </w:tcPr>
          <w:p w:rsidR="00077D41" w:rsidRPr="00077D41" w:rsidRDefault="00077D41" w:rsidP="00077D41">
            <w:pPr>
              <w:spacing w:line="240" w:lineRule="auto"/>
              <w:jc w:val="right"/>
              <w:rPr>
                <w:rFonts w:ascii="Calibri" w:eastAsia="Times New Roman" w:hAnsi="Calibri" w:cs="Calibri"/>
                <w:color w:val="auto"/>
                <w:sz w:val="22"/>
                <w:szCs w:val="22"/>
                <w:lang w:val="en-ZA" w:eastAsia="en-ZA"/>
              </w:rPr>
            </w:pPr>
            <w:r w:rsidRPr="00077D41">
              <w:rPr>
                <w:rFonts w:ascii="Calibri" w:eastAsia="Times New Roman" w:hAnsi="Calibri" w:cs="Calibri"/>
                <w:color w:val="auto"/>
                <w:sz w:val="22"/>
                <w:szCs w:val="22"/>
                <w:lang w:val="en-ZA" w:eastAsia="en-ZA"/>
              </w:rPr>
              <w:t>9.0%</w:t>
            </w:r>
          </w:p>
        </w:tc>
      </w:tr>
      <w:tr w:rsidR="00077D41" w:rsidRPr="00077D41" w:rsidTr="00077D41">
        <w:trPr>
          <w:trHeight w:val="288"/>
        </w:trPr>
        <w:tc>
          <w:tcPr>
            <w:tcW w:w="3740" w:type="dxa"/>
            <w:tcBorders>
              <w:top w:val="single" w:sz="4" w:space="0" w:color="9BBB59"/>
              <w:left w:val="single" w:sz="4" w:space="0" w:color="9BBB59"/>
              <w:bottom w:val="nil"/>
              <w:right w:val="nil"/>
            </w:tcBorders>
            <w:shd w:val="clear" w:color="auto" w:fill="auto"/>
            <w:noWrap/>
            <w:vAlign w:val="bottom"/>
            <w:hideMark/>
          </w:tcPr>
          <w:p w:rsidR="00077D41" w:rsidRPr="00077D41" w:rsidRDefault="00077D41" w:rsidP="00077D41">
            <w:pPr>
              <w:spacing w:line="240" w:lineRule="auto"/>
              <w:jc w:val="left"/>
              <w:rPr>
                <w:rFonts w:ascii="Calibri" w:eastAsia="Times New Roman" w:hAnsi="Calibri" w:cs="Calibri"/>
                <w:b/>
                <w:bCs/>
                <w:color w:val="000000"/>
                <w:sz w:val="22"/>
                <w:szCs w:val="22"/>
                <w:lang w:val="en-ZA" w:eastAsia="en-ZA"/>
              </w:rPr>
            </w:pPr>
            <w:r w:rsidRPr="00077D41">
              <w:rPr>
                <w:rFonts w:ascii="Calibri" w:eastAsia="Times New Roman" w:hAnsi="Calibri" w:cs="Calibri"/>
                <w:b/>
                <w:bCs/>
                <w:color w:val="000000"/>
                <w:sz w:val="22"/>
                <w:szCs w:val="22"/>
                <w:lang w:val="en-ZA" w:eastAsia="en-ZA"/>
              </w:rPr>
              <w:t>Machinery</w:t>
            </w:r>
          </w:p>
        </w:tc>
        <w:tc>
          <w:tcPr>
            <w:tcW w:w="2480" w:type="dxa"/>
            <w:tcBorders>
              <w:top w:val="single" w:sz="4" w:space="0" w:color="9BBB59"/>
              <w:left w:val="nil"/>
              <w:bottom w:val="nil"/>
              <w:right w:val="nil"/>
            </w:tcBorders>
            <w:shd w:val="clear" w:color="000000" w:fill="00B050"/>
            <w:noWrap/>
            <w:vAlign w:val="bottom"/>
            <w:hideMark/>
          </w:tcPr>
          <w:p w:rsidR="00077D41" w:rsidRPr="00077D41" w:rsidRDefault="00077D41" w:rsidP="00077D41">
            <w:pPr>
              <w:spacing w:line="240" w:lineRule="auto"/>
              <w:jc w:val="right"/>
              <w:rPr>
                <w:rFonts w:ascii="Calibri" w:eastAsia="Times New Roman" w:hAnsi="Calibri" w:cs="Calibri"/>
                <w:color w:val="auto"/>
                <w:sz w:val="22"/>
                <w:szCs w:val="22"/>
                <w:lang w:val="en-ZA" w:eastAsia="en-ZA"/>
              </w:rPr>
            </w:pPr>
            <w:r w:rsidRPr="00077D41">
              <w:rPr>
                <w:rFonts w:ascii="Calibri" w:eastAsia="Times New Roman" w:hAnsi="Calibri" w:cs="Calibri"/>
                <w:color w:val="auto"/>
                <w:sz w:val="22"/>
                <w:szCs w:val="22"/>
                <w:lang w:val="en-ZA" w:eastAsia="en-ZA"/>
              </w:rPr>
              <w:t>20.9%</w:t>
            </w:r>
          </w:p>
        </w:tc>
        <w:tc>
          <w:tcPr>
            <w:tcW w:w="2100" w:type="dxa"/>
            <w:tcBorders>
              <w:top w:val="single" w:sz="4" w:space="0" w:color="9BBB59"/>
              <w:left w:val="nil"/>
              <w:bottom w:val="nil"/>
              <w:right w:val="single" w:sz="4" w:space="0" w:color="9BBB59"/>
            </w:tcBorders>
            <w:shd w:val="clear" w:color="000000" w:fill="00B050"/>
            <w:noWrap/>
            <w:vAlign w:val="bottom"/>
            <w:hideMark/>
          </w:tcPr>
          <w:p w:rsidR="00077D41" w:rsidRPr="00077D41" w:rsidRDefault="00077D41" w:rsidP="00077D41">
            <w:pPr>
              <w:spacing w:line="240" w:lineRule="auto"/>
              <w:jc w:val="right"/>
              <w:rPr>
                <w:rFonts w:ascii="Calibri" w:eastAsia="Times New Roman" w:hAnsi="Calibri" w:cs="Calibri"/>
                <w:color w:val="auto"/>
                <w:sz w:val="22"/>
                <w:szCs w:val="22"/>
                <w:lang w:val="en-ZA" w:eastAsia="en-ZA"/>
              </w:rPr>
            </w:pPr>
            <w:r w:rsidRPr="00077D41">
              <w:rPr>
                <w:rFonts w:ascii="Calibri" w:eastAsia="Times New Roman" w:hAnsi="Calibri" w:cs="Calibri"/>
                <w:color w:val="auto"/>
                <w:sz w:val="22"/>
                <w:szCs w:val="22"/>
                <w:lang w:val="en-ZA" w:eastAsia="en-ZA"/>
              </w:rPr>
              <w:t>0.0%</w:t>
            </w:r>
          </w:p>
        </w:tc>
      </w:tr>
      <w:tr w:rsidR="00077D41" w:rsidRPr="00077D41" w:rsidTr="00077D41">
        <w:trPr>
          <w:trHeight w:val="288"/>
        </w:trPr>
        <w:tc>
          <w:tcPr>
            <w:tcW w:w="3740" w:type="dxa"/>
            <w:tcBorders>
              <w:top w:val="single" w:sz="4" w:space="0" w:color="9BBB59"/>
              <w:left w:val="single" w:sz="4" w:space="0" w:color="9BBB59"/>
              <w:bottom w:val="nil"/>
              <w:right w:val="nil"/>
            </w:tcBorders>
            <w:shd w:val="clear" w:color="auto" w:fill="auto"/>
            <w:noWrap/>
            <w:vAlign w:val="bottom"/>
            <w:hideMark/>
          </w:tcPr>
          <w:p w:rsidR="00077D41" w:rsidRPr="00077D41" w:rsidRDefault="00077D41" w:rsidP="00077D41">
            <w:pPr>
              <w:spacing w:line="240" w:lineRule="auto"/>
              <w:jc w:val="left"/>
              <w:rPr>
                <w:rFonts w:ascii="Calibri" w:eastAsia="Times New Roman" w:hAnsi="Calibri" w:cs="Calibri"/>
                <w:b/>
                <w:bCs/>
                <w:color w:val="000000"/>
                <w:sz w:val="22"/>
                <w:szCs w:val="22"/>
                <w:lang w:val="en-ZA" w:eastAsia="en-ZA"/>
              </w:rPr>
            </w:pPr>
            <w:r w:rsidRPr="00077D41">
              <w:rPr>
                <w:rFonts w:ascii="Calibri" w:eastAsia="Times New Roman" w:hAnsi="Calibri" w:cs="Calibri"/>
                <w:b/>
                <w:bCs/>
                <w:color w:val="000000"/>
                <w:sz w:val="22"/>
                <w:szCs w:val="22"/>
                <w:lang w:val="en-ZA" w:eastAsia="en-ZA"/>
              </w:rPr>
              <w:t>ICT Equipment</w:t>
            </w:r>
          </w:p>
        </w:tc>
        <w:tc>
          <w:tcPr>
            <w:tcW w:w="2480" w:type="dxa"/>
            <w:tcBorders>
              <w:top w:val="single" w:sz="4" w:space="0" w:color="9BBB59"/>
              <w:left w:val="nil"/>
              <w:bottom w:val="nil"/>
              <w:right w:val="nil"/>
            </w:tcBorders>
            <w:shd w:val="clear" w:color="000000" w:fill="00B050"/>
            <w:noWrap/>
            <w:vAlign w:val="bottom"/>
            <w:hideMark/>
          </w:tcPr>
          <w:p w:rsidR="00077D41" w:rsidRPr="00077D41" w:rsidRDefault="00077D41" w:rsidP="00077D41">
            <w:pPr>
              <w:spacing w:line="240" w:lineRule="auto"/>
              <w:jc w:val="right"/>
              <w:rPr>
                <w:rFonts w:ascii="Calibri" w:eastAsia="Times New Roman" w:hAnsi="Calibri" w:cs="Calibri"/>
                <w:color w:val="auto"/>
                <w:sz w:val="22"/>
                <w:szCs w:val="22"/>
                <w:lang w:val="en-ZA" w:eastAsia="en-ZA"/>
              </w:rPr>
            </w:pPr>
            <w:r w:rsidRPr="00077D41">
              <w:rPr>
                <w:rFonts w:ascii="Calibri" w:eastAsia="Times New Roman" w:hAnsi="Calibri" w:cs="Calibri"/>
                <w:color w:val="auto"/>
                <w:sz w:val="22"/>
                <w:szCs w:val="22"/>
                <w:lang w:val="en-ZA" w:eastAsia="en-ZA"/>
              </w:rPr>
              <w:t>10.1%</w:t>
            </w:r>
          </w:p>
        </w:tc>
        <w:tc>
          <w:tcPr>
            <w:tcW w:w="2100" w:type="dxa"/>
            <w:tcBorders>
              <w:top w:val="single" w:sz="4" w:space="0" w:color="9BBB59"/>
              <w:left w:val="nil"/>
              <w:bottom w:val="nil"/>
              <w:right w:val="single" w:sz="4" w:space="0" w:color="9BBB59"/>
            </w:tcBorders>
            <w:shd w:val="clear" w:color="000000" w:fill="FF0000"/>
            <w:noWrap/>
            <w:vAlign w:val="bottom"/>
            <w:hideMark/>
          </w:tcPr>
          <w:p w:rsidR="00077D41" w:rsidRPr="00077D41" w:rsidRDefault="00077D41" w:rsidP="00077D41">
            <w:pPr>
              <w:spacing w:line="240" w:lineRule="auto"/>
              <w:jc w:val="right"/>
              <w:rPr>
                <w:rFonts w:ascii="Calibri" w:eastAsia="Times New Roman" w:hAnsi="Calibri" w:cs="Calibri"/>
                <w:color w:val="auto"/>
                <w:sz w:val="22"/>
                <w:szCs w:val="22"/>
                <w:lang w:val="en-ZA" w:eastAsia="en-ZA"/>
              </w:rPr>
            </w:pPr>
            <w:r w:rsidRPr="00077D41">
              <w:rPr>
                <w:rFonts w:ascii="Calibri" w:eastAsia="Times New Roman" w:hAnsi="Calibri" w:cs="Calibri"/>
                <w:color w:val="auto"/>
                <w:sz w:val="22"/>
                <w:szCs w:val="22"/>
                <w:lang w:val="en-ZA" w:eastAsia="en-ZA"/>
              </w:rPr>
              <w:t>-15.3%</w:t>
            </w:r>
          </w:p>
        </w:tc>
      </w:tr>
      <w:tr w:rsidR="00077D41" w:rsidRPr="00077D41" w:rsidTr="00077D41">
        <w:trPr>
          <w:trHeight w:val="288"/>
        </w:trPr>
        <w:tc>
          <w:tcPr>
            <w:tcW w:w="3740" w:type="dxa"/>
            <w:tcBorders>
              <w:top w:val="single" w:sz="4" w:space="0" w:color="9BBB59"/>
              <w:left w:val="single" w:sz="4" w:space="0" w:color="9BBB59"/>
              <w:bottom w:val="nil"/>
              <w:right w:val="nil"/>
            </w:tcBorders>
            <w:shd w:val="clear" w:color="auto" w:fill="auto"/>
            <w:noWrap/>
            <w:vAlign w:val="bottom"/>
            <w:hideMark/>
          </w:tcPr>
          <w:p w:rsidR="00077D41" w:rsidRPr="00077D41" w:rsidRDefault="00077D41" w:rsidP="00077D41">
            <w:pPr>
              <w:spacing w:line="240" w:lineRule="auto"/>
              <w:jc w:val="left"/>
              <w:rPr>
                <w:rFonts w:ascii="Calibri" w:eastAsia="Times New Roman" w:hAnsi="Calibri" w:cs="Calibri"/>
                <w:b/>
                <w:bCs/>
                <w:color w:val="000000"/>
                <w:sz w:val="22"/>
                <w:szCs w:val="22"/>
                <w:lang w:val="en-ZA" w:eastAsia="en-ZA"/>
              </w:rPr>
            </w:pPr>
            <w:r w:rsidRPr="00077D41">
              <w:rPr>
                <w:rFonts w:ascii="Calibri" w:eastAsia="Times New Roman" w:hAnsi="Calibri" w:cs="Calibri"/>
                <w:b/>
                <w:bCs/>
                <w:color w:val="000000"/>
                <w:sz w:val="22"/>
                <w:szCs w:val="22"/>
                <w:lang w:val="en-ZA" w:eastAsia="en-ZA"/>
              </w:rPr>
              <w:t>Transfers</w:t>
            </w:r>
          </w:p>
        </w:tc>
        <w:tc>
          <w:tcPr>
            <w:tcW w:w="2480" w:type="dxa"/>
            <w:tcBorders>
              <w:top w:val="single" w:sz="4" w:space="0" w:color="9BBB59"/>
              <w:left w:val="nil"/>
              <w:bottom w:val="nil"/>
              <w:right w:val="nil"/>
            </w:tcBorders>
            <w:shd w:val="clear" w:color="000000" w:fill="00B050"/>
            <w:noWrap/>
            <w:vAlign w:val="bottom"/>
            <w:hideMark/>
          </w:tcPr>
          <w:p w:rsidR="00077D41" w:rsidRPr="00077D41" w:rsidRDefault="00077D41" w:rsidP="00077D41">
            <w:pPr>
              <w:spacing w:line="240" w:lineRule="auto"/>
              <w:jc w:val="right"/>
              <w:rPr>
                <w:rFonts w:ascii="Calibri" w:eastAsia="Times New Roman" w:hAnsi="Calibri" w:cs="Calibri"/>
                <w:color w:val="auto"/>
                <w:sz w:val="22"/>
                <w:szCs w:val="22"/>
                <w:lang w:val="en-ZA" w:eastAsia="en-ZA"/>
              </w:rPr>
            </w:pPr>
            <w:r w:rsidRPr="00077D41">
              <w:rPr>
                <w:rFonts w:ascii="Calibri" w:eastAsia="Times New Roman" w:hAnsi="Calibri" w:cs="Calibri"/>
                <w:color w:val="auto"/>
                <w:sz w:val="22"/>
                <w:szCs w:val="22"/>
                <w:lang w:val="en-ZA" w:eastAsia="en-ZA"/>
              </w:rPr>
              <w:t>3.1%</w:t>
            </w:r>
          </w:p>
        </w:tc>
        <w:tc>
          <w:tcPr>
            <w:tcW w:w="2100" w:type="dxa"/>
            <w:tcBorders>
              <w:top w:val="single" w:sz="4" w:space="0" w:color="9BBB59"/>
              <w:left w:val="nil"/>
              <w:bottom w:val="nil"/>
              <w:right w:val="single" w:sz="4" w:space="0" w:color="9BBB59"/>
            </w:tcBorders>
            <w:shd w:val="clear" w:color="000000" w:fill="FF0000"/>
            <w:noWrap/>
            <w:vAlign w:val="bottom"/>
            <w:hideMark/>
          </w:tcPr>
          <w:p w:rsidR="00077D41" w:rsidRPr="00077D41" w:rsidRDefault="00077D41" w:rsidP="00077D41">
            <w:pPr>
              <w:spacing w:line="240" w:lineRule="auto"/>
              <w:jc w:val="right"/>
              <w:rPr>
                <w:rFonts w:ascii="Calibri" w:eastAsia="Times New Roman" w:hAnsi="Calibri" w:cs="Calibri"/>
                <w:color w:val="auto"/>
                <w:sz w:val="22"/>
                <w:szCs w:val="22"/>
                <w:lang w:val="en-ZA" w:eastAsia="en-ZA"/>
              </w:rPr>
            </w:pPr>
            <w:r w:rsidRPr="00077D41">
              <w:rPr>
                <w:rFonts w:ascii="Calibri" w:eastAsia="Times New Roman" w:hAnsi="Calibri" w:cs="Calibri"/>
                <w:color w:val="auto"/>
                <w:sz w:val="22"/>
                <w:szCs w:val="22"/>
                <w:lang w:val="en-ZA" w:eastAsia="en-ZA"/>
              </w:rPr>
              <w:t>-4.4%</w:t>
            </w:r>
          </w:p>
        </w:tc>
      </w:tr>
      <w:tr w:rsidR="00077D41" w:rsidRPr="00077D41" w:rsidTr="00077D41">
        <w:trPr>
          <w:trHeight w:val="288"/>
        </w:trPr>
        <w:tc>
          <w:tcPr>
            <w:tcW w:w="3740" w:type="dxa"/>
            <w:tcBorders>
              <w:top w:val="single" w:sz="4" w:space="0" w:color="9BBB59"/>
              <w:left w:val="single" w:sz="4" w:space="0" w:color="9BBB59"/>
              <w:bottom w:val="single" w:sz="4" w:space="0" w:color="9BBB59"/>
              <w:right w:val="nil"/>
            </w:tcBorders>
            <w:shd w:val="clear" w:color="auto" w:fill="auto"/>
            <w:noWrap/>
            <w:vAlign w:val="bottom"/>
            <w:hideMark/>
          </w:tcPr>
          <w:p w:rsidR="00077D41" w:rsidRPr="00077D41" w:rsidRDefault="00077D41" w:rsidP="00077D41">
            <w:pPr>
              <w:spacing w:line="240" w:lineRule="auto"/>
              <w:jc w:val="left"/>
              <w:rPr>
                <w:rFonts w:ascii="Calibri" w:eastAsia="Times New Roman" w:hAnsi="Calibri" w:cs="Calibri"/>
                <w:b/>
                <w:bCs/>
                <w:color w:val="000000"/>
                <w:sz w:val="22"/>
                <w:szCs w:val="22"/>
                <w:lang w:val="en-ZA" w:eastAsia="en-ZA"/>
              </w:rPr>
            </w:pPr>
            <w:r w:rsidRPr="00077D41">
              <w:rPr>
                <w:rFonts w:ascii="Calibri" w:eastAsia="Times New Roman" w:hAnsi="Calibri" w:cs="Calibri"/>
                <w:b/>
                <w:bCs/>
                <w:color w:val="000000"/>
                <w:sz w:val="22"/>
                <w:szCs w:val="22"/>
                <w:lang w:val="en-ZA" w:eastAsia="en-ZA"/>
              </w:rPr>
              <w:t>Total Investment Index</w:t>
            </w:r>
          </w:p>
        </w:tc>
        <w:tc>
          <w:tcPr>
            <w:tcW w:w="2480" w:type="dxa"/>
            <w:tcBorders>
              <w:top w:val="single" w:sz="4" w:space="0" w:color="9BBB59"/>
              <w:left w:val="nil"/>
              <w:bottom w:val="single" w:sz="4" w:space="0" w:color="9BBB59"/>
              <w:right w:val="nil"/>
            </w:tcBorders>
            <w:shd w:val="clear" w:color="000000" w:fill="00B050"/>
            <w:noWrap/>
            <w:vAlign w:val="bottom"/>
            <w:hideMark/>
          </w:tcPr>
          <w:p w:rsidR="00077D41" w:rsidRPr="00077D41" w:rsidRDefault="00077D41" w:rsidP="00077D41">
            <w:pPr>
              <w:spacing w:line="240" w:lineRule="auto"/>
              <w:jc w:val="right"/>
              <w:rPr>
                <w:rFonts w:ascii="Calibri" w:eastAsia="Times New Roman" w:hAnsi="Calibri" w:cs="Calibri"/>
                <w:color w:val="auto"/>
                <w:sz w:val="22"/>
                <w:szCs w:val="22"/>
                <w:lang w:val="en-ZA" w:eastAsia="en-ZA"/>
              </w:rPr>
            </w:pPr>
            <w:r w:rsidRPr="00077D41">
              <w:rPr>
                <w:rFonts w:ascii="Calibri" w:eastAsia="Times New Roman" w:hAnsi="Calibri" w:cs="Calibri"/>
                <w:color w:val="auto"/>
                <w:sz w:val="22"/>
                <w:szCs w:val="22"/>
                <w:lang w:val="en-ZA" w:eastAsia="en-ZA"/>
              </w:rPr>
              <w:t>15.9%</w:t>
            </w:r>
          </w:p>
        </w:tc>
        <w:tc>
          <w:tcPr>
            <w:tcW w:w="2100" w:type="dxa"/>
            <w:tcBorders>
              <w:top w:val="single" w:sz="4" w:space="0" w:color="9BBB59"/>
              <w:left w:val="nil"/>
              <w:bottom w:val="single" w:sz="4" w:space="0" w:color="9BBB59"/>
              <w:right w:val="single" w:sz="4" w:space="0" w:color="9BBB59"/>
            </w:tcBorders>
            <w:shd w:val="clear" w:color="000000" w:fill="FF0000"/>
            <w:noWrap/>
            <w:vAlign w:val="bottom"/>
            <w:hideMark/>
          </w:tcPr>
          <w:p w:rsidR="00077D41" w:rsidRPr="00077D41" w:rsidRDefault="00077D41" w:rsidP="00077D41">
            <w:pPr>
              <w:spacing w:line="240" w:lineRule="auto"/>
              <w:jc w:val="right"/>
              <w:rPr>
                <w:rFonts w:ascii="Calibri" w:eastAsia="Times New Roman" w:hAnsi="Calibri" w:cs="Calibri"/>
                <w:color w:val="auto"/>
                <w:sz w:val="22"/>
                <w:szCs w:val="22"/>
                <w:lang w:val="en-ZA" w:eastAsia="en-ZA"/>
              </w:rPr>
            </w:pPr>
            <w:r w:rsidRPr="00077D41">
              <w:rPr>
                <w:rFonts w:ascii="Calibri" w:eastAsia="Times New Roman" w:hAnsi="Calibri" w:cs="Calibri"/>
                <w:color w:val="auto"/>
                <w:sz w:val="22"/>
                <w:szCs w:val="22"/>
                <w:lang w:val="en-ZA" w:eastAsia="en-ZA"/>
              </w:rPr>
              <w:t>-2.9%</w:t>
            </w:r>
          </w:p>
        </w:tc>
      </w:tr>
    </w:tbl>
    <w:p w:rsidR="00077D41" w:rsidRPr="00C9312D" w:rsidRDefault="00077D41" w:rsidP="00077D41">
      <w:pPr>
        <w:spacing w:line="240" w:lineRule="auto"/>
        <w:rPr>
          <w:rFonts w:ascii="Arial" w:hAnsi="Arial"/>
          <w:szCs w:val="20"/>
        </w:rPr>
      </w:pPr>
    </w:p>
    <w:sectPr w:rsidR="00077D41" w:rsidRPr="00C9312D" w:rsidSect="003B0BDF">
      <w:headerReference w:type="default" r:id="rId10"/>
      <w:footerReference w:type="default" r:id="rId11"/>
      <w:pgSz w:w="12240" w:h="15840"/>
      <w:pgMar w:top="1276" w:right="1041" w:bottom="1440" w:left="993"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7F73" w:rsidRDefault="00507F73" w:rsidP="005A53F9">
      <w:pPr>
        <w:spacing w:line="240" w:lineRule="auto"/>
      </w:pPr>
      <w:r>
        <w:separator/>
      </w:r>
    </w:p>
  </w:endnote>
  <w:endnote w:type="continuationSeparator" w:id="0">
    <w:p w:rsidR="00507F73" w:rsidRDefault="00507F73" w:rsidP="005A53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B62AF1">
    <w:pPr>
      <w:pStyle w:val="Footer"/>
    </w:pPr>
    <w:r>
      <w:rPr>
        <w:noProof/>
        <w:lang w:val="en-ZA" w:eastAsia="en-ZA"/>
      </w:rPr>
      <w:pict>
        <v:shapetype id="_x0000_t202" coordsize="21600,21600" o:spt="202" path="m,l,21600r21600,l21600,xe">
          <v:stroke joinstyle="miter"/>
          <v:path gradientshapeok="t" o:connecttype="rect"/>
        </v:shapetype>
        <v:shape id="Text Box 4" o:spid="_x0000_s4099" type="#_x0000_t202" style="position:absolute;left:0;text-align:left;margin-left:407.95pt;margin-top:1.5pt;width:152.75pt;height:88.3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DYgtbR&#10;gQIAABAFAAAOAAAAAAAAAAAAAAAAAC4CAABkcnMvZTJvRG9jLnhtbFBLAQItABQABgAIAAAAIQDf&#10;QTn73wAAAAoBAAAPAAAAAAAAAAAAAAAAANsEAABkcnMvZG93bnJldi54bWxQSwUGAAAAAAQABADz&#10;AAAA5wUAAAAA&#10;" stroked="f">
          <v:textbox>
            <w:txbxContent>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r w:rsidRPr="009A05FE">
                  <w:rPr>
                    <w:rFonts w:eastAsia="Times New Roman" w:cs="Tahoma"/>
                    <w:color w:val="auto"/>
                    <w:sz w:val="16"/>
                    <w:szCs w:val="16"/>
                  </w:rPr>
                  <w:t>Kingsmead Office Park</w:t>
                </w:r>
              </w:p>
              <w:p w:rsidR="0078551F" w:rsidRPr="009A05FE" w:rsidRDefault="0078551F" w:rsidP="003D2C89">
                <w:pPr>
                  <w:spacing w:line="240" w:lineRule="auto"/>
                  <w:jc w:val="left"/>
                  <w:rPr>
                    <w:rFonts w:eastAsia="Times New Roman" w:cs="Tahoma"/>
                    <w:color w:val="auto"/>
                    <w:sz w:val="16"/>
                    <w:szCs w:val="16"/>
                  </w:rPr>
                </w:pPr>
                <w:r>
                  <w:rPr>
                    <w:rFonts w:eastAsia="Times New Roman" w:cs="Tahoma"/>
                    <w:color w:val="auto"/>
                    <w:sz w:val="16"/>
                    <w:szCs w:val="16"/>
                  </w:rPr>
                  <w:t xml:space="preserve">Kingsmead Boulevard, </w:t>
                </w:r>
                <w:r w:rsidRPr="009A05FE">
                  <w:rPr>
                    <w:rFonts w:eastAsia="Times New Roman" w:cs="Tahoma"/>
                    <w:color w:val="auto"/>
                    <w:sz w:val="16"/>
                    <w:szCs w:val="16"/>
                  </w:rPr>
                  <w:t>Durban</w:t>
                </w:r>
              </w:p>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680206" w:rsidRDefault="00680206" w:rsidP="003D2C89">
                <w:pPr>
                  <w:spacing w:line="240" w:lineRule="auto"/>
                  <w:jc w:val="left"/>
                  <w:rPr>
                    <w:rFonts w:eastAsia="Times New Roman" w:cs="Tahoma"/>
                    <w:color w:val="auto"/>
                    <w:sz w:val="16"/>
                    <w:szCs w:val="16"/>
                  </w:rPr>
                </w:pPr>
              </w:p>
              <w:p w:rsidR="00680206" w:rsidRPr="009A05FE" w:rsidRDefault="00680206"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680206" w:rsidRDefault="00680206" w:rsidP="003D2C89">
                <w:pPr>
                  <w:spacing w:line="240" w:lineRule="auto"/>
                  <w:jc w:val="left"/>
                  <w:rPr>
                    <w:rFonts w:eastAsia="Times New Roman" w:cs="Tahoma"/>
                    <w:color w:val="auto"/>
                    <w:sz w:val="16"/>
                    <w:szCs w:val="16"/>
                  </w:rPr>
                </w:pPr>
              </w:p>
            </w:txbxContent>
          </v:textbox>
        </v:shape>
      </w:pict>
    </w:r>
    <w:r>
      <w:rPr>
        <w:noProof/>
        <w:lang w:val="en-ZA" w:eastAsia="en-ZA"/>
      </w:rPr>
      <w:pict>
        <v:shape id="Text Box 3" o:spid="_x0000_s4098" type="#_x0000_t202" style="position:absolute;left:0;text-align:left;margin-left:4.95pt;margin-top:1.5pt;width:146.25pt;height:71.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jLq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O4y&#10;6oUCAAAWBQAADgAAAAAAAAAAAAAAAAAuAgAAZHJzL2Uyb0RvYy54bWxQSwECLQAUAAYACAAAACEA&#10;GOt9/9wAAAAHAQAADwAAAAAAAAAAAAAAAADfBAAAZHJzL2Rvd25yZXYueG1sUEsFBgAAAAAEAAQA&#10;8wAAAOgFAAAAAA==&#10;" stroked="f">
          <v:textbox>
            <w:txbxContent>
              <w:p w:rsidR="0078551F" w:rsidRPr="009A05FE" w:rsidRDefault="0078551F"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Doore </w:t>
                </w:r>
                <w:r>
                  <w:rPr>
                    <w:rFonts w:ascii="Verdana" w:hAnsi="Verdana" w:cs="Tahoma"/>
                    <w:sz w:val="16"/>
                    <w:szCs w:val="16"/>
                  </w:rPr>
                  <w:t>building</w:t>
                </w:r>
                <w:r>
                  <w:rPr>
                    <w:rFonts w:ascii="Verdana" w:hAnsi="Verdana" w:cs="Tahoma"/>
                    <w:sz w:val="16"/>
                    <w:szCs w:val="16"/>
                  </w:rPr>
                  <w:br/>
                  <w:t>270 Jabu Ndlovu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8551F" w:rsidRPr="009A05FE" w:rsidRDefault="0078551F" w:rsidP="00680206">
                <w:pPr>
                  <w:spacing w:line="240" w:lineRule="auto"/>
                  <w:rPr>
                    <w:color w:val="auto"/>
                    <w:sz w:val="16"/>
                    <w:szCs w:val="16"/>
                  </w:rPr>
                </w:pPr>
                <w:r w:rsidRPr="009A05FE">
                  <w:rPr>
                    <w:color w:val="auto"/>
                    <w:sz w:val="16"/>
                    <w:szCs w:val="16"/>
                  </w:rPr>
                  <w:t>Tel: +27 33 264 2500</w:t>
                </w:r>
              </w:p>
              <w:p w:rsidR="0078551F" w:rsidRPr="009A05FE" w:rsidRDefault="0078551F" w:rsidP="00680206">
                <w:pPr>
                  <w:spacing w:line="240" w:lineRule="auto"/>
                  <w:rPr>
                    <w:color w:val="auto"/>
                    <w:sz w:val="16"/>
                    <w:szCs w:val="16"/>
                  </w:rPr>
                </w:pPr>
                <w:r w:rsidRPr="009A05FE">
                  <w:rPr>
                    <w:color w:val="auto"/>
                    <w:sz w:val="16"/>
                    <w:szCs w:val="16"/>
                  </w:rPr>
                  <w:t>Web: www.kznded.gov.za</w:t>
                </w:r>
              </w:p>
            </w:txbxContent>
          </v:textbox>
        </v:shape>
      </w:pict>
    </w:r>
    <w:r>
      <w:rPr>
        <w:noProof/>
        <w:lang w:val="en-ZA" w:eastAsia="en-ZA"/>
      </w:rPr>
      <w:pict>
        <v:shape id="Text Box 2" o:spid="_x0000_s4097" type="#_x0000_t202" style="position:absolute;left:0;text-align:left;margin-left:210.1pt;margin-top:1.5pt;width:155pt;height:75.7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EC+M2aD&#10;AgAAFgUAAA4AAAAAAAAAAAAAAAAALgIAAGRycy9lMm9Eb2MueG1sUEsBAi0AFAAGAAgAAAAhADz3&#10;zBXcAAAACQEAAA8AAAAAAAAAAAAAAAAA3QQAAGRycy9kb3ducmV2LnhtbFBLBQYAAAAABAAEAPMA&#10;AADmBQAAAAA=&#10;" stroked="f">
          <v:textbox>
            <w:txbxContent>
              <w:p w:rsidR="0078551F" w:rsidRPr="009A05FE" w:rsidRDefault="0078551F"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8551F" w:rsidRPr="009A05FE" w:rsidRDefault="0078551F" w:rsidP="00680206">
                <w:pPr>
                  <w:spacing w:line="240" w:lineRule="auto"/>
                  <w:jc w:val="left"/>
                  <w:rPr>
                    <w:color w:val="auto"/>
                    <w:sz w:val="16"/>
                    <w:szCs w:val="16"/>
                  </w:rPr>
                </w:pPr>
                <w:r w:rsidRPr="009A05FE">
                  <w:rPr>
                    <w:color w:val="auto"/>
                    <w:sz w:val="16"/>
                    <w:szCs w:val="16"/>
                  </w:rPr>
                  <w:t>Web: www.kzntreasury.gov.za</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7F73" w:rsidRDefault="00507F73" w:rsidP="005A53F9">
      <w:pPr>
        <w:spacing w:line="240" w:lineRule="auto"/>
      </w:pPr>
      <w:r>
        <w:separator/>
      </w:r>
    </w:p>
  </w:footnote>
  <w:footnote w:type="continuationSeparator" w:id="0">
    <w:p w:rsidR="00507F73" w:rsidRDefault="00507F73" w:rsidP="005A53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Header"/>
    </w:pPr>
    <w:r w:rsidRPr="005A53F9">
      <w:rPr>
        <w:noProof/>
        <w:lang w:val="en-ZA" w:eastAsia="en-ZA"/>
      </w:rPr>
      <w:drawing>
        <wp:inline distT="0" distB="0" distL="0" distR="0">
          <wp:extent cx="2162175" cy="771525"/>
          <wp:effectExtent l="19050" t="0" r="9525" b="0"/>
          <wp:docPr id="4" name="Picture 2" descr="Corre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rect LOGO"/>
                  <pic:cNvPicPr>
                    <a:picLocks noChangeAspect="1" noChangeArrowheads="1"/>
                  </pic:cNvPicPr>
                </pic:nvPicPr>
                <pic:blipFill>
                  <a:blip r:embed="rId1" cstate="print"/>
                  <a:srcRect/>
                  <a:stretch>
                    <a:fillRect/>
                  </a:stretch>
                </pic:blipFill>
                <pic:spPr bwMode="auto">
                  <a:xfrm>
                    <a:off x="0" y="0"/>
                    <a:ext cx="2162175" cy="77152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124075" cy="67627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srcRect/>
                  <a:stretch>
                    <a:fillRect/>
                  </a:stretch>
                </pic:blipFill>
                <pic:spPr bwMode="auto">
                  <a:xfrm>
                    <a:off x="0" y="0"/>
                    <a:ext cx="2124075" cy="67627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324100" cy="600075"/>
          <wp:effectExtent l="19050" t="0" r="0" b="0"/>
          <wp:docPr id="6" name="Picture 11" descr="top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op 7.jpg"/>
                  <pic:cNvPicPr>
                    <a:picLocks noChangeAspect="1" noChangeArrowheads="1"/>
                  </pic:cNvPicPr>
                </pic:nvPicPr>
                <pic:blipFill>
                  <a:blip r:embed="rId3" cstate="print"/>
                  <a:srcRect/>
                  <a:stretch>
                    <a:fillRect/>
                  </a:stretch>
                </pic:blipFill>
                <pic:spPr bwMode="auto">
                  <a:xfrm>
                    <a:off x="0" y="0"/>
                    <a:ext cx="2324100" cy="600075"/>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Header"/>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2"/>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454BB1"/>
    <w:rsid w:val="00026014"/>
    <w:rsid w:val="00077D41"/>
    <w:rsid w:val="000A346C"/>
    <w:rsid w:val="000A5CE8"/>
    <w:rsid w:val="000C27C2"/>
    <w:rsid w:val="000F6EDC"/>
    <w:rsid w:val="00104892"/>
    <w:rsid w:val="0012629B"/>
    <w:rsid w:val="0014110B"/>
    <w:rsid w:val="00184712"/>
    <w:rsid w:val="001E4052"/>
    <w:rsid w:val="00280844"/>
    <w:rsid w:val="00384BEE"/>
    <w:rsid w:val="003B0BDF"/>
    <w:rsid w:val="003C1263"/>
    <w:rsid w:val="003D2C89"/>
    <w:rsid w:val="004246DB"/>
    <w:rsid w:val="00435A38"/>
    <w:rsid w:val="00451BA1"/>
    <w:rsid w:val="00454BB1"/>
    <w:rsid w:val="00482F59"/>
    <w:rsid w:val="00507F73"/>
    <w:rsid w:val="00560FC5"/>
    <w:rsid w:val="00570C0F"/>
    <w:rsid w:val="005A53F9"/>
    <w:rsid w:val="005E1A21"/>
    <w:rsid w:val="005F396D"/>
    <w:rsid w:val="00662636"/>
    <w:rsid w:val="00680206"/>
    <w:rsid w:val="0069663D"/>
    <w:rsid w:val="006A6E68"/>
    <w:rsid w:val="006C21FF"/>
    <w:rsid w:val="006C3022"/>
    <w:rsid w:val="00756B58"/>
    <w:rsid w:val="007746EC"/>
    <w:rsid w:val="0078551F"/>
    <w:rsid w:val="007B66FB"/>
    <w:rsid w:val="008118BF"/>
    <w:rsid w:val="00855F84"/>
    <w:rsid w:val="008A03D8"/>
    <w:rsid w:val="008C38FE"/>
    <w:rsid w:val="00925C17"/>
    <w:rsid w:val="00946625"/>
    <w:rsid w:val="00950B0E"/>
    <w:rsid w:val="009F4B73"/>
    <w:rsid w:val="00A31FFD"/>
    <w:rsid w:val="00A700CF"/>
    <w:rsid w:val="00B12C09"/>
    <w:rsid w:val="00B62AF1"/>
    <w:rsid w:val="00B63885"/>
    <w:rsid w:val="00B72457"/>
    <w:rsid w:val="00BD3888"/>
    <w:rsid w:val="00C17D4A"/>
    <w:rsid w:val="00C9312D"/>
    <w:rsid w:val="00C94F75"/>
    <w:rsid w:val="00CA46F5"/>
    <w:rsid w:val="00CC5AD1"/>
    <w:rsid w:val="00CD2455"/>
    <w:rsid w:val="00CD39B4"/>
    <w:rsid w:val="00D04DFB"/>
    <w:rsid w:val="00D05FA7"/>
    <w:rsid w:val="00D07179"/>
    <w:rsid w:val="00D177BD"/>
    <w:rsid w:val="00E03479"/>
    <w:rsid w:val="00E4336B"/>
    <w:rsid w:val="00E857F8"/>
    <w:rsid w:val="00EB6C11"/>
    <w:rsid w:val="00EC2FEE"/>
    <w:rsid w:val="00EF73C6"/>
    <w:rsid w:val="00F258F4"/>
    <w:rsid w:val="00F37AF9"/>
    <w:rsid w:val="00F37D2D"/>
    <w:rsid w:val="00F60399"/>
    <w:rsid w:val="00FB36A2"/>
    <w:rsid w:val="00FF3673"/>
    <w:rsid w:val="00FF7C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47768699">
      <w:bodyDiv w:val="1"/>
      <w:marLeft w:val="0"/>
      <w:marRight w:val="0"/>
      <w:marTop w:val="0"/>
      <w:marBottom w:val="0"/>
      <w:divBdr>
        <w:top w:val="none" w:sz="0" w:space="0" w:color="auto"/>
        <w:left w:val="none" w:sz="0" w:space="0" w:color="auto"/>
        <w:bottom w:val="none" w:sz="0" w:space="0" w:color="auto"/>
        <w:right w:val="none" w:sz="0" w:space="0" w:color="auto"/>
      </w:divBdr>
    </w:div>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14163">
      <w:bodyDiv w:val="1"/>
      <w:marLeft w:val="0"/>
      <w:marRight w:val="0"/>
      <w:marTop w:val="0"/>
      <w:marBottom w:val="0"/>
      <w:divBdr>
        <w:top w:val="none" w:sz="0" w:space="0" w:color="auto"/>
        <w:left w:val="none" w:sz="0" w:space="0" w:color="auto"/>
        <w:bottom w:val="none" w:sz="0" w:space="0" w:color="auto"/>
        <w:right w:val="none" w:sz="0" w:space="0" w:color="auto"/>
      </w:divBdr>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chart" Target="charts/chart1.xm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ZA"/>
  <c:chart>
    <c:autoTitleDeleted val="1"/>
    <c:plotArea>
      <c:layout/>
      <c:lineChart>
        <c:grouping val="standard"/>
        <c:ser>
          <c:idx val="0"/>
          <c:order val="0"/>
          <c:tx>
            <c:strRef>
              <c:f>'Sea adjusted indices'!$AQ$4</c:f>
              <c:strCache>
                <c:ptCount val="1"/>
                <c:pt idx="0">
                  <c:v>Total KZN Investment</c:v>
                </c:pt>
              </c:strCache>
            </c:strRef>
          </c:tx>
          <c:spPr>
            <a:ln w="53975"/>
          </c:spPr>
          <c:marker>
            <c:symbol val="none"/>
          </c:marker>
          <c:cat>
            <c:numRef>
              <c:f>'Sea adjusted indices'!$A$56:$A$128</c:f>
              <c:numCache>
                <c:formatCode>mmm\-yy</c:formatCode>
                <c:ptCount val="73"/>
                <c:pt idx="0">
                  <c:v>38808</c:v>
                </c:pt>
                <c:pt idx="1">
                  <c:v>38838</c:v>
                </c:pt>
                <c:pt idx="2">
                  <c:v>38869</c:v>
                </c:pt>
                <c:pt idx="3">
                  <c:v>38899</c:v>
                </c:pt>
                <c:pt idx="4">
                  <c:v>38930</c:v>
                </c:pt>
                <c:pt idx="5">
                  <c:v>38961</c:v>
                </c:pt>
                <c:pt idx="6">
                  <c:v>38991</c:v>
                </c:pt>
                <c:pt idx="7">
                  <c:v>39022</c:v>
                </c:pt>
                <c:pt idx="8">
                  <c:v>39052</c:v>
                </c:pt>
                <c:pt idx="9">
                  <c:v>39083</c:v>
                </c:pt>
                <c:pt idx="10">
                  <c:v>39114</c:v>
                </c:pt>
                <c:pt idx="11">
                  <c:v>39142</c:v>
                </c:pt>
                <c:pt idx="12">
                  <c:v>39173</c:v>
                </c:pt>
                <c:pt idx="13">
                  <c:v>39203</c:v>
                </c:pt>
                <c:pt idx="14">
                  <c:v>39234</c:v>
                </c:pt>
                <c:pt idx="15">
                  <c:v>39264</c:v>
                </c:pt>
                <c:pt idx="16">
                  <c:v>39295</c:v>
                </c:pt>
                <c:pt idx="17">
                  <c:v>39326</c:v>
                </c:pt>
                <c:pt idx="18">
                  <c:v>39356</c:v>
                </c:pt>
                <c:pt idx="19">
                  <c:v>39387</c:v>
                </c:pt>
                <c:pt idx="20">
                  <c:v>39417</c:v>
                </c:pt>
                <c:pt idx="21">
                  <c:v>39448</c:v>
                </c:pt>
                <c:pt idx="22">
                  <c:v>39479</c:v>
                </c:pt>
                <c:pt idx="23">
                  <c:v>39508</c:v>
                </c:pt>
                <c:pt idx="24">
                  <c:v>39539</c:v>
                </c:pt>
                <c:pt idx="25">
                  <c:v>39569</c:v>
                </c:pt>
                <c:pt idx="26">
                  <c:v>39600</c:v>
                </c:pt>
                <c:pt idx="27">
                  <c:v>39630</c:v>
                </c:pt>
                <c:pt idx="28">
                  <c:v>39661</c:v>
                </c:pt>
                <c:pt idx="29">
                  <c:v>39692</c:v>
                </c:pt>
                <c:pt idx="30">
                  <c:v>39722</c:v>
                </c:pt>
                <c:pt idx="31">
                  <c:v>39753</c:v>
                </c:pt>
                <c:pt idx="32">
                  <c:v>39783</c:v>
                </c:pt>
                <c:pt idx="33">
                  <c:v>39814</c:v>
                </c:pt>
                <c:pt idx="34">
                  <c:v>39845</c:v>
                </c:pt>
                <c:pt idx="35">
                  <c:v>39873</c:v>
                </c:pt>
                <c:pt idx="36">
                  <c:v>39904</c:v>
                </c:pt>
                <c:pt idx="37">
                  <c:v>39934</c:v>
                </c:pt>
                <c:pt idx="38">
                  <c:v>39965</c:v>
                </c:pt>
                <c:pt idx="39">
                  <c:v>39995</c:v>
                </c:pt>
                <c:pt idx="40">
                  <c:v>40026</c:v>
                </c:pt>
                <c:pt idx="41">
                  <c:v>40057</c:v>
                </c:pt>
                <c:pt idx="42">
                  <c:v>40087</c:v>
                </c:pt>
                <c:pt idx="43">
                  <c:v>40118</c:v>
                </c:pt>
                <c:pt idx="44">
                  <c:v>40148</c:v>
                </c:pt>
                <c:pt idx="45">
                  <c:v>40179</c:v>
                </c:pt>
                <c:pt idx="46">
                  <c:v>40210</c:v>
                </c:pt>
                <c:pt idx="47">
                  <c:v>40238</c:v>
                </c:pt>
                <c:pt idx="48">
                  <c:v>40269</c:v>
                </c:pt>
                <c:pt idx="49">
                  <c:v>40299</c:v>
                </c:pt>
                <c:pt idx="50">
                  <c:v>40330</c:v>
                </c:pt>
                <c:pt idx="51">
                  <c:v>40360</c:v>
                </c:pt>
                <c:pt idx="52">
                  <c:v>40391</c:v>
                </c:pt>
                <c:pt idx="53">
                  <c:v>40422</c:v>
                </c:pt>
                <c:pt idx="54">
                  <c:v>40452</c:v>
                </c:pt>
                <c:pt idx="55">
                  <c:v>40483</c:v>
                </c:pt>
                <c:pt idx="56">
                  <c:v>40513</c:v>
                </c:pt>
                <c:pt idx="57">
                  <c:v>40544</c:v>
                </c:pt>
                <c:pt idx="58">
                  <c:v>40575</c:v>
                </c:pt>
                <c:pt idx="59">
                  <c:v>40603</c:v>
                </c:pt>
                <c:pt idx="60">
                  <c:v>40634</c:v>
                </c:pt>
                <c:pt idx="61">
                  <c:v>40664</c:v>
                </c:pt>
                <c:pt idx="62">
                  <c:v>40695</c:v>
                </c:pt>
                <c:pt idx="63">
                  <c:v>40725</c:v>
                </c:pt>
                <c:pt idx="64">
                  <c:v>40756</c:v>
                </c:pt>
                <c:pt idx="65">
                  <c:v>40787</c:v>
                </c:pt>
                <c:pt idx="66">
                  <c:v>40817</c:v>
                </c:pt>
                <c:pt idx="67">
                  <c:v>40848</c:v>
                </c:pt>
                <c:pt idx="68">
                  <c:v>40878</c:v>
                </c:pt>
                <c:pt idx="69">
                  <c:v>40909</c:v>
                </c:pt>
                <c:pt idx="70">
                  <c:v>40940</c:v>
                </c:pt>
                <c:pt idx="71">
                  <c:v>40969</c:v>
                </c:pt>
                <c:pt idx="72">
                  <c:v>41000</c:v>
                </c:pt>
              </c:numCache>
            </c:numRef>
          </c:cat>
          <c:val>
            <c:numRef>
              <c:f>'Sea adjusted indices'!$AQ$56:$AQ$128</c:f>
              <c:numCache>
                <c:formatCode>0.0</c:formatCode>
                <c:ptCount val="73"/>
                <c:pt idx="0">
                  <c:v>100.32710092410532</c:v>
                </c:pt>
                <c:pt idx="1">
                  <c:v>103.68351538442798</c:v>
                </c:pt>
                <c:pt idx="2">
                  <c:v>107.57839891808335</c:v>
                </c:pt>
                <c:pt idx="3">
                  <c:v>112.14840711662238</c:v>
                </c:pt>
                <c:pt idx="4">
                  <c:v>115.93548244929134</c:v>
                </c:pt>
                <c:pt idx="5">
                  <c:v>114.74187045812349</c:v>
                </c:pt>
                <c:pt idx="6">
                  <c:v>118.76798467748863</c:v>
                </c:pt>
                <c:pt idx="7">
                  <c:v>119.33227385838295</c:v>
                </c:pt>
                <c:pt idx="8">
                  <c:v>121.22153956200563</c:v>
                </c:pt>
                <c:pt idx="9">
                  <c:v>124.10411414611967</c:v>
                </c:pt>
                <c:pt idx="10">
                  <c:v>125.71189724503232</c:v>
                </c:pt>
                <c:pt idx="11">
                  <c:v>126.3670301140198</c:v>
                </c:pt>
                <c:pt idx="12">
                  <c:v>124.39252902762836</c:v>
                </c:pt>
                <c:pt idx="13">
                  <c:v>125.86671448074584</c:v>
                </c:pt>
                <c:pt idx="14">
                  <c:v>124.65385452817002</c:v>
                </c:pt>
                <c:pt idx="15">
                  <c:v>126.94429939492802</c:v>
                </c:pt>
                <c:pt idx="16">
                  <c:v>126.58395683828854</c:v>
                </c:pt>
                <c:pt idx="17">
                  <c:v>125.63406791243406</c:v>
                </c:pt>
                <c:pt idx="18">
                  <c:v>124.25152092908634</c:v>
                </c:pt>
                <c:pt idx="19">
                  <c:v>119.54489798245287</c:v>
                </c:pt>
                <c:pt idx="20">
                  <c:v>119.26979789091861</c:v>
                </c:pt>
                <c:pt idx="21">
                  <c:v>120.4369264553425</c:v>
                </c:pt>
                <c:pt idx="22">
                  <c:v>128.60731538395805</c:v>
                </c:pt>
                <c:pt idx="23">
                  <c:v>133.13727974604285</c:v>
                </c:pt>
                <c:pt idx="24">
                  <c:v>139.37431344482616</c:v>
                </c:pt>
                <c:pt idx="25">
                  <c:v>134.1369920997019</c:v>
                </c:pt>
                <c:pt idx="26">
                  <c:v>134.25676734745517</c:v>
                </c:pt>
                <c:pt idx="27">
                  <c:v>130.25687352366896</c:v>
                </c:pt>
                <c:pt idx="28">
                  <c:v>128.89717951963561</c:v>
                </c:pt>
                <c:pt idx="29">
                  <c:v>126.92577305984459</c:v>
                </c:pt>
                <c:pt idx="30">
                  <c:v>126.6020264137763</c:v>
                </c:pt>
                <c:pt idx="31">
                  <c:v>128.18075071399872</c:v>
                </c:pt>
                <c:pt idx="32">
                  <c:v>127.49948149699603</c:v>
                </c:pt>
                <c:pt idx="33">
                  <c:v>126.21702805530776</c:v>
                </c:pt>
                <c:pt idx="34">
                  <c:v>117.50465557331235</c:v>
                </c:pt>
                <c:pt idx="35">
                  <c:v>112.51670124248849</c:v>
                </c:pt>
                <c:pt idx="36">
                  <c:v>107.25914903842947</c:v>
                </c:pt>
                <c:pt idx="37">
                  <c:v>104.3594200055778</c:v>
                </c:pt>
                <c:pt idx="38">
                  <c:v>99.417663847553527</c:v>
                </c:pt>
                <c:pt idx="39">
                  <c:v>97.723093624422347</c:v>
                </c:pt>
                <c:pt idx="40">
                  <c:v>95.660942954819177</c:v>
                </c:pt>
                <c:pt idx="41">
                  <c:v>93.439389699401445</c:v>
                </c:pt>
                <c:pt idx="42">
                  <c:v>94.533242023311104</c:v>
                </c:pt>
                <c:pt idx="43">
                  <c:v>95.94451205420529</c:v>
                </c:pt>
                <c:pt idx="44">
                  <c:v>95.74646989310456</c:v>
                </c:pt>
                <c:pt idx="45">
                  <c:v>99.485457663891893</c:v>
                </c:pt>
                <c:pt idx="46">
                  <c:v>98.678161226157172</c:v>
                </c:pt>
                <c:pt idx="47">
                  <c:v>99.508650799524759</c:v>
                </c:pt>
                <c:pt idx="48">
                  <c:v>95.928812091336738</c:v>
                </c:pt>
                <c:pt idx="49">
                  <c:v>100.44173961652251</c:v>
                </c:pt>
                <c:pt idx="50">
                  <c:v>99.670154156062466</c:v>
                </c:pt>
                <c:pt idx="51">
                  <c:v>99.905446526394726</c:v>
                </c:pt>
                <c:pt idx="52">
                  <c:v>101.8885228636377</c:v>
                </c:pt>
                <c:pt idx="53">
                  <c:v>105.14427106070136</c:v>
                </c:pt>
                <c:pt idx="54">
                  <c:v>106.96116769167934</c:v>
                </c:pt>
                <c:pt idx="55">
                  <c:v>103.39329060913055</c:v>
                </c:pt>
                <c:pt idx="56">
                  <c:v>104.76774529366566</c:v>
                </c:pt>
                <c:pt idx="57">
                  <c:v>108.25317239555962</c:v>
                </c:pt>
                <c:pt idx="58">
                  <c:v>111.17228770773524</c:v>
                </c:pt>
                <c:pt idx="59">
                  <c:v>117.13312713567385</c:v>
                </c:pt>
                <c:pt idx="60">
                  <c:v>113.33177457801968</c:v>
                </c:pt>
                <c:pt idx="61">
                  <c:v>113.40565266509088</c:v>
                </c:pt>
                <c:pt idx="62">
                  <c:v>108.36432262026541</c:v>
                </c:pt>
                <c:pt idx="63">
                  <c:v>109.96775265106803</c:v>
                </c:pt>
                <c:pt idx="64">
                  <c:v>111.43119331734012</c:v>
                </c:pt>
                <c:pt idx="65">
                  <c:v>119.37509640601219</c:v>
                </c:pt>
                <c:pt idx="66">
                  <c:v>121.43686158937473</c:v>
                </c:pt>
                <c:pt idx="67">
                  <c:v>125.81854139817121</c:v>
                </c:pt>
                <c:pt idx="68">
                  <c:v>125.06269284152108</c:v>
                </c:pt>
                <c:pt idx="69">
                  <c:v>135.21325285371555</c:v>
                </c:pt>
                <c:pt idx="70">
                  <c:v>132.63290387244516</c:v>
                </c:pt>
                <c:pt idx="71">
                  <c:v>130.25875401125359</c:v>
                </c:pt>
                <c:pt idx="72">
                  <c:v>131.34789146568906</c:v>
                </c:pt>
              </c:numCache>
            </c:numRef>
          </c:val>
        </c:ser>
        <c:marker val="1"/>
        <c:axId val="23269376"/>
        <c:axId val="23270912"/>
      </c:lineChart>
      <c:dateAx>
        <c:axId val="23269376"/>
        <c:scaling>
          <c:orientation val="minMax"/>
        </c:scaling>
        <c:axPos val="b"/>
        <c:numFmt formatCode="mmm\-yy" sourceLinked="1"/>
        <c:tickLblPos val="nextTo"/>
        <c:txPr>
          <a:bodyPr/>
          <a:lstStyle/>
          <a:p>
            <a:pPr>
              <a:defRPr sz="1200" b="1"/>
            </a:pPr>
            <a:endParaRPr lang="en-US"/>
          </a:p>
        </c:txPr>
        <c:crossAx val="23270912"/>
        <c:crosses val="autoZero"/>
        <c:auto val="1"/>
        <c:lblOffset val="100"/>
        <c:baseTimeUnit val="months"/>
      </c:dateAx>
      <c:valAx>
        <c:axId val="23270912"/>
        <c:scaling>
          <c:orientation val="minMax"/>
          <c:max val="140"/>
          <c:min val="90"/>
        </c:scaling>
        <c:axPos val="l"/>
        <c:majorGridlines/>
        <c:numFmt formatCode="0" sourceLinked="0"/>
        <c:tickLblPos val="nextTo"/>
        <c:txPr>
          <a:bodyPr/>
          <a:lstStyle/>
          <a:p>
            <a:pPr>
              <a:defRPr sz="1200" b="1"/>
            </a:pPr>
            <a:endParaRPr lang="en-US"/>
          </a:p>
        </c:txPr>
        <c:crossAx val="23269376"/>
        <c:crosses val="autoZero"/>
        <c:crossBetween val="between"/>
      </c:valAx>
      <c:spPr>
        <a:noFill/>
      </c:spPr>
    </c:plotArea>
    <c:legend>
      <c:legendPos val="t"/>
      <c:layout>
        <c:manualLayout>
          <c:xMode val="edge"/>
          <c:yMode val="edge"/>
          <c:x val="0.45132478632478662"/>
          <c:y val="0.11158756300810564"/>
          <c:w val="0.41675196850393703"/>
          <c:h val="9.1726721952675047E-2"/>
        </c:manualLayout>
      </c:layout>
      <c:overlay val="1"/>
      <c:txPr>
        <a:bodyPr/>
        <a:lstStyle/>
        <a:p>
          <a:pPr>
            <a:defRPr sz="1800" b="1"/>
          </a:pPr>
          <a:endParaRPr lang="en-US"/>
        </a:p>
      </c:txP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9F803A-FAB9-4E67-96E7-7D7D903F8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965</Words>
  <Characters>5502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6455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dcterms:created xsi:type="dcterms:W3CDTF">2012-07-11T17:47:00Z</dcterms:created>
  <dcterms:modified xsi:type="dcterms:W3CDTF">2012-07-11T17:47:00Z</dcterms:modified>
</cp:coreProperties>
</file>