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A53F9" w:rsidRDefault="005A53F9" w:rsidP="00454BB1">
      <w:pPr>
        <w:jc w:val="center"/>
        <w:rPr>
          <w:rFonts w:ascii="Book Antiqua" w:hAnsi="Book Antiqua"/>
          <w:noProof/>
        </w:rPr>
      </w:pPr>
    </w:p>
    <w:p w:rsidR="00454BB1" w:rsidRDefault="005A53F9" w:rsidP="005A53F9">
      <w:pPr>
        <w:tabs>
          <w:tab w:val="left" w:pos="555"/>
        </w:tabs>
      </w:pPr>
      <w:r>
        <w:rPr>
          <w:rFonts w:ascii="Book Antiqua" w:hAnsi="Book Antiqua"/>
          <w:noProof/>
        </w:rPr>
        <w:tab/>
      </w:r>
    </w:p>
    <w:p w:rsidR="00454BB1" w:rsidRDefault="00454BB1"/>
    <w:p w:rsidR="00454BB1" w:rsidRDefault="00454BB1" w:rsidP="00454BB1">
      <w:pPr>
        <w:jc w:val="center"/>
      </w:pPr>
    </w:p>
    <w:p w:rsidR="00454BB1" w:rsidRPr="00454BB1" w:rsidRDefault="00454BB1" w:rsidP="00454BB1"/>
    <w:p w:rsidR="00454BB1" w:rsidRPr="00454BB1" w:rsidRDefault="00454BB1" w:rsidP="00454BB1"/>
    <w:p w:rsidR="00454BB1" w:rsidRDefault="00454BB1" w:rsidP="00454BB1"/>
    <w:p w:rsidR="00A700CF" w:rsidRDefault="00A700CF" w:rsidP="00454BB1"/>
    <w:p w:rsidR="00454BB1" w:rsidRDefault="00454BB1" w:rsidP="00454BB1">
      <w:pPr>
        <w:jc w:val="center"/>
      </w:pPr>
    </w:p>
    <w:p w:rsidR="00454BB1" w:rsidRDefault="00454BB1" w:rsidP="00454BB1"/>
    <w:p w:rsidR="00A700CF" w:rsidRDefault="00A700CF" w:rsidP="00454BB1"/>
    <w:p w:rsidR="005A53F9" w:rsidRDefault="005A53F9" w:rsidP="00454BB1">
      <w:pPr>
        <w:jc w:val="center"/>
        <w:rPr>
          <w:rFonts w:ascii="Arial" w:hAnsi="Arial"/>
          <w:b/>
          <w:sz w:val="28"/>
          <w:szCs w:val="28"/>
        </w:rPr>
      </w:pPr>
    </w:p>
    <w:p w:rsidR="005A53F9" w:rsidRDefault="005A53F9" w:rsidP="00454BB1">
      <w:pPr>
        <w:jc w:val="center"/>
        <w:rPr>
          <w:rFonts w:ascii="Arial" w:hAnsi="Arial"/>
          <w:b/>
          <w:sz w:val="28"/>
          <w:szCs w:val="28"/>
        </w:rPr>
      </w:pPr>
    </w:p>
    <w:p w:rsidR="00454BB1" w:rsidRPr="00454BB1" w:rsidRDefault="00454BB1" w:rsidP="00454BB1">
      <w:pPr>
        <w:jc w:val="center"/>
        <w:rPr>
          <w:rFonts w:ascii="Arial" w:hAnsi="Arial"/>
          <w:b/>
          <w:sz w:val="28"/>
          <w:szCs w:val="28"/>
        </w:rPr>
      </w:pPr>
      <w:r w:rsidRPr="00454BB1">
        <w:rPr>
          <w:rFonts w:ascii="Arial" w:hAnsi="Arial"/>
          <w:b/>
          <w:sz w:val="28"/>
          <w:szCs w:val="28"/>
        </w:rPr>
        <w:t xml:space="preserve">KwaZulu-Natal </w:t>
      </w:r>
      <w:r w:rsidR="00BD3888">
        <w:rPr>
          <w:rFonts w:ascii="Arial" w:hAnsi="Arial"/>
          <w:b/>
          <w:sz w:val="28"/>
          <w:szCs w:val="28"/>
        </w:rPr>
        <w:t>Investment</w:t>
      </w:r>
      <w:r w:rsidR="005F396D">
        <w:rPr>
          <w:rFonts w:ascii="Arial" w:hAnsi="Arial"/>
          <w:b/>
          <w:sz w:val="28"/>
          <w:szCs w:val="28"/>
        </w:rPr>
        <w:t xml:space="preserve"> </w:t>
      </w:r>
      <w:r w:rsidR="00BD3888">
        <w:rPr>
          <w:rFonts w:ascii="Arial" w:hAnsi="Arial"/>
          <w:b/>
          <w:sz w:val="28"/>
          <w:szCs w:val="28"/>
        </w:rPr>
        <w:t>Monitor</w:t>
      </w:r>
      <w:r w:rsidRPr="00454BB1">
        <w:rPr>
          <w:rFonts w:ascii="Arial" w:hAnsi="Arial"/>
          <w:b/>
          <w:sz w:val="28"/>
          <w:szCs w:val="28"/>
        </w:rPr>
        <w:t xml:space="preserve"> </w:t>
      </w:r>
    </w:p>
    <w:p w:rsidR="00454BB1" w:rsidRPr="00454BB1" w:rsidRDefault="00454BB1" w:rsidP="00454BB1">
      <w:pPr>
        <w:jc w:val="center"/>
        <w:rPr>
          <w:rFonts w:ascii="Arial" w:hAnsi="Arial"/>
        </w:rPr>
      </w:pPr>
    </w:p>
    <w:p w:rsidR="005A53F9" w:rsidRDefault="005A53F9" w:rsidP="00454BB1">
      <w:pPr>
        <w:jc w:val="center"/>
        <w:rPr>
          <w:rFonts w:ascii="Arial" w:hAnsi="Arial"/>
          <w:b/>
        </w:rPr>
      </w:pPr>
    </w:p>
    <w:p w:rsidR="005A53F9" w:rsidRDefault="005A53F9" w:rsidP="00454BB1">
      <w:pPr>
        <w:jc w:val="center"/>
        <w:rPr>
          <w:rFonts w:ascii="Arial" w:hAnsi="Arial"/>
          <w:b/>
        </w:rPr>
      </w:pPr>
    </w:p>
    <w:p w:rsidR="005A53F9" w:rsidRDefault="005A53F9" w:rsidP="00454BB1">
      <w:pPr>
        <w:jc w:val="center"/>
        <w:rPr>
          <w:rFonts w:ascii="Arial" w:hAnsi="Arial"/>
          <w:b/>
        </w:rPr>
      </w:pPr>
    </w:p>
    <w:p w:rsidR="005A53F9" w:rsidRDefault="005A53F9" w:rsidP="00454BB1">
      <w:pPr>
        <w:jc w:val="center"/>
        <w:rPr>
          <w:rFonts w:ascii="Arial" w:hAnsi="Arial"/>
          <w:b/>
        </w:rPr>
      </w:pPr>
    </w:p>
    <w:p w:rsidR="005A53F9" w:rsidRDefault="005A53F9" w:rsidP="00454BB1">
      <w:pPr>
        <w:jc w:val="center"/>
        <w:rPr>
          <w:rFonts w:ascii="Arial" w:hAnsi="Arial"/>
          <w:b/>
        </w:rPr>
      </w:pPr>
    </w:p>
    <w:p w:rsidR="00454BB1" w:rsidRDefault="008050DD" w:rsidP="00454BB1">
      <w:pPr>
        <w:jc w:val="center"/>
        <w:rPr>
          <w:rFonts w:ascii="Arial" w:hAnsi="Arial"/>
          <w:b/>
        </w:rPr>
      </w:pPr>
      <w:r>
        <w:rPr>
          <w:rFonts w:ascii="Arial" w:hAnsi="Arial"/>
          <w:b/>
        </w:rPr>
        <w:t>December</w:t>
      </w:r>
      <w:r w:rsidR="00C9312D">
        <w:rPr>
          <w:rFonts w:ascii="Arial" w:hAnsi="Arial"/>
          <w:b/>
        </w:rPr>
        <w:t xml:space="preserve"> 2012</w:t>
      </w:r>
    </w:p>
    <w:p w:rsidR="00454BB1" w:rsidRDefault="00454BB1" w:rsidP="00454BB1">
      <w:pPr>
        <w:jc w:val="center"/>
        <w:rPr>
          <w:rFonts w:ascii="Arial" w:hAnsi="Arial"/>
          <w:b/>
        </w:rPr>
      </w:pPr>
    </w:p>
    <w:p w:rsidR="005A53F9" w:rsidRDefault="005A53F9">
      <w:pPr>
        <w:rPr>
          <w:rFonts w:ascii="Arial" w:hAnsi="Arial"/>
        </w:rPr>
        <w:sectPr w:rsidR="005A53F9" w:rsidSect="00184712">
          <w:headerReference w:type="default" r:id="rId7"/>
          <w:footerReference w:type="default" r:id="rId8"/>
          <w:pgSz w:w="12240" w:h="15840"/>
          <w:pgMar w:top="3649" w:right="474" w:bottom="1440" w:left="426" w:header="2127" w:footer="2836" w:gutter="0"/>
          <w:cols w:space="708"/>
          <w:docGrid w:linePitch="360"/>
        </w:sectPr>
      </w:pPr>
      <w:r>
        <w:rPr>
          <w:rFonts w:ascii="Arial" w:hAnsi="Arial"/>
        </w:rPr>
        <w:br w:type="page"/>
      </w:r>
    </w:p>
    <w:p w:rsidR="00913C47" w:rsidRPr="000167B1" w:rsidRDefault="008050DD" w:rsidP="00913C47">
      <w:pPr>
        <w:rPr>
          <w:rFonts w:ascii="Arial" w:hAnsi="Arial"/>
          <w:b/>
          <w:sz w:val="28"/>
          <w:szCs w:val="20"/>
          <w:lang w:val="en-GB"/>
        </w:rPr>
      </w:pPr>
      <w:r w:rsidRPr="000167B1">
        <w:rPr>
          <w:rFonts w:ascii="Arial" w:hAnsi="Arial"/>
          <w:b/>
          <w:bCs/>
          <w:sz w:val="28"/>
          <w:szCs w:val="20"/>
          <w:lang w:val="en-GB"/>
        </w:rPr>
        <w:lastRenderedPageBreak/>
        <w:t>Fixed investment worst in two and a half years</w:t>
      </w:r>
    </w:p>
    <w:p w:rsidR="009D45DB" w:rsidRDefault="008050DD" w:rsidP="002107D5">
      <w:pPr>
        <w:rPr>
          <w:rFonts w:ascii="Arial" w:hAnsi="Arial"/>
          <w:b/>
          <w:szCs w:val="20"/>
          <w:lang w:val="en-GB"/>
        </w:rPr>
      </w:pPr>
      <w:r>
        <w:rPr>
          <w:rFonts w:ascii="Arial" w:hAnsi="Arial"/>
          <w:b/>
          <w:noProof/>
          <w:szCs w:val="20"/>
          <w:lang w:val="en-ZA" w:eastAsia="en-ZA"/>
        </w:rPr>
        <w:drawing>
          <wp:inline distT="0" distB="0" distL="0" distR="0">
            <wp:extent cx="6035040" cy="3703320"/>
            <wp:effectExtent l="0" t="0" r="381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032572" cy="3701806"/>
                    </a:xfrm>
                    <a:prstGeom prst="rect">
                      <a:avLst/>
                    </a:prstGeom>
                    <a:noFill/>
                  </pic:spPr>
                </pic:pic>
              </a:graphicData>
            </a:graphic>
          </wp:inline>
        </w:drawing>
      </w:r>
    </w:p>
    <w:p w:rsidR="008050DD" w:rsidRPr="008050DD" w:rsidRDefault="008050DD" w:rsidP="000167B1">
      <w:pPr>
        <w:spacing w:line="240" w:lineRule="auto"/>
        <w:rPr>
          <w:rFonts w:ascii="Arial" w:hAnsi="Arial"/>
          <w:szCs w:val="20"/>
          <w:lang w:val="en-GB"/>
        </w:rPr>
      </w:pPr>
      <w:r w:rsidRPr="008050DD">
        <w:rPr>
          <w:rFonts w:ascii="Arial" w:hAnsi="Arial"/>
          <w:szCs w:val="20"/>
          <w:lang w:val="en-GB"/>
        </w:rPr>
        <w:t>Fixed investment in KwaZulu-Natal had its worst performance in more than two and a half years as the strikes in the second half of last year and credit downgrade weighed on the rand’s exchange rate.</w:t>
      </w:r>
    </w:p>
    <w:p w:rsidR="008050DD" w:rsidRPr="008050DD" w:rsidRDefault="008050DD" w:rsidP="000167B1">
      <w:pPr>
        <w:spacing w:line="240" w:lineRule="auto"/>
        <w:rPr>
          <w:rFonts w:ascii="Arial" w:hAnsi="Arial"/>
          <w:szCs w:val="20"/>
          <w:lang w:val="en-GB"/>
        </w:rPr>
      </w:pPr>
      <w:r w:rsidRPr="008050DD">
        <w:rPr>
          <w:rFonts w:ascii="Arial" w:hAnsi="Arial"/>
          <w:szCs w:val="20"/>
          <w:lang w:val="en-GB"/>
        </w:rPr>
        <w:t>The latest total investment index of the KwaZulu-Natal investment monitor, as compiled by Mike Sch</w:t>
      </w:r>
      <w:r w:rsidRPr="008050DD">
        <w:rPr>
          <w:rFonts w:ascii="Arial" w:hAnsi="Arial"/>
          <w:szCs w:val="20"/>
          <w:lang w:val="en-GB"/>
        </w:rPr>
        <w:sym w:font="Times New Roman" w:char="00FC"/>
      </w:r>
      <w:r w:rsidRPr="008050DD">
        <w:rPr>
          <w:rFonts w:ascii="Arial" w:hAnsi="Arial"/>
          <w:szCs w:val="20"/>
          <w:lang w:val="en-GB"/>
        </w:rPr>
        <w:t>ssler of Economists.co.za, declined by 0.6% year-on-year after two years of mostly double-digit growth. Quarter-on-quarter the index was down 7.7%, the fifth consecutive month of decline.</w:t>
      </w:r>
    </w:p>
    <w:p w:rsidR="008050DD" w:rsidRPr="008050DD" w:rsidRDefault="008050DD" w:rsidP="000167B1">
      <w:pPr>
        <w:spacing w:line="240" w:lineRule="auto"/>
        <w:rPr>
          <w:rFonts w:ascii="Arial" w:hAnsi="Arial"/>
          <w:szCs w:val="20"/>
          <w:lang w:val="en-GB"/>
        </w:rPr>
      </w:pPr>
      <w:r w:rsidRPr="008050DD">
        <w:rPr>
          <w:rFonts w:ascii="Arial" w:hAnsi="Arial"/>
          <w:szCs w:val="20"/>
          <w:lang w:val="en-GB"/>
        </w:rPr>
        <w:t>Most sub-indices of fixed investment in KwaZulu-Natal did not have a positive last quarter in 2012. Aside from marginal quarter-on-quarter growth in transport equipment and transfers investment, all sub-indices were negative on a three-month basis. This was not due to any base effects, but reflects the adverse economic events and lack of economic growth in the last quarter. However, this was far from limited to KwaZulu-Natal as the whole country was struggling in the last quarter of 2012.</w:t>
      </w:r>
    </w:p>
    <w:p w:rsidR="008050DD" w:rsidRPr="008050DD" w:rsidRDefault="008050DD" w:rsidP="000167B1">
      <w:pPr>
        <w:spacing w:line="240" w:lineRule="auto"/>
        <w:rPr>
          <w:rFonts w:ascii="Arial" w:hAnsi="Arial"/>
          <w:szCs w:val="20"/>
          <w:lang w:val="en-GB"/>
        </w:rPr>
      </w:pPr>
    </w:p>
    <w:p w:rsidR="008050DD" w:rsidRPr="008050DD" w:rsidRDefault="008050DD" w:rsidP="000167B1">
      <w:pPr>
        <w:spacing w:line="240" w:lineRule="auto"/>
        <w:rPr>
          <w:rFonts w:ascii="Arial" w:hAnsi="Arial"/>
          <w:b/>
          <w:bCs/>
          <w:szCs w:val="20"/>
          <w:lang w:val="en-GB"/>
        </w:rPr>
      </w:pPr>
      <w:r w:rsidRPr="008050DD">
        <w:rPr>
          <w:rFonts w:ascii="Arial" w:hAnsi="Arial"/>
          <w:b/>
          <w:bCs/>
          <w:szCs w:val="20"/>
          <w:lang w:val="en-GB"/>
        </w:rPr>
        <w:t>Transport equipment investment not top priority for struggling businesses</w:t>
      </w:r>
    </w:p>
    <w:p w:rsidR="008050DD" w:rsidRPr="008050DD" w:rsidRDefault="008050DD" w:rsidP="000167B1">
      <w:pPr>
        <w:spacing w:line="240" w:lineRule="auto"/>
        <w:rPr>
          <w:rFonts w:ascii="Arial" w:hAnsi="Arial"/>
          <w:szCs w:val="20"/>
          <w:lang w:val="en-GB"/>
        </w:rPr>
      </w:pPr>
      <w:r w:rsidRPr="008050DD">
        <w:rPr>
          <w:rFonts w:ascii="Arial" w:hAnsi="Arial"/>
          <w:szCs w:val="20"/>
          <w:lang w:val="en-GB"/>
        </w:rPr>
        <w:t>Investment in transport equipment struggled for a large part of 2012. After low growth in October and November, the investment category turned negative again and declined by 3.4% year-on-year. This could be an indicator of businesses cutting back on expenditure and also of less business activity as some smaller businesses are likely to have closed down. Some businesses are also selling their vehicles, or continue to use older equipment just to keep the business going.</w:t>
      </w:r>
    </w:p>
    <w:p w:rsidR="008050DD" w:rsidRPr="008050DD" w:rsidRDefault="008050DD" w:rsidP="000167B1">
      <w:pPr>
        <w:spacing w:line="240" w:lineRule="auto"/>
        <w:rPr>
          <w:rFonts w:ascii="Arial" w:hAnsi="Arial"/>
          <w:szCs w:val="20"/>
          <w:lang w:val="en-GB"/>
        </w:rPr>
      </w:pPr>
      <w:r w:rsidRPr="008050DD">
        <w:rPr>
          <w:rFonts w:ascii="Arial" w:hAnsi="Arial"/>
          <w:szCs w:val="20"/>
          <w:lang w:val="en-GB"/>
        </w:rPr>
        <w:t>Investment in airplanes and ships made a strong contribution to the investment in transport equipment in KwaZulu-Natal for several months last year, but this has come to an end, most likely as Comair’s fleet renewal programme came to an end. Investment in airplanes and ships declined by 13.7% year-on-year.</w:t>
      </w:r>
    </w:p>
    <w:p w:rsidR="008050DD" w:rsidRPr="008050DD" w:rsidRDefault="008050DD" w:rsidP="000167B1">
      <w:pPr>
        <w:spacing w:line="240" w:lineRule="auto"/>
        <w:rPr>
          <w:rFonts w:ascii="Arial" w:hAnsi="Arial"/>
          <w:szCs w:val="20"/>
          <w:lang w:val="en-GB"/>
        </w:rPr>
      </w:pPr>
    </w:p>
    <w:p w:rsidR="008050DD" w:rsidRPr="008050DD" w:rsidRDefault="008050DD" w:rsidP="000167B1">
      <w:pPr>
        <w:spacing w:line="240" w:lineRule="auto"/>
        <w:rPr>
          <w:rFonts w:ascii="Arial" w:hAnsi="Arial"/>
          <w:b/>
          <w:bCs/>
          <w:szCs w:val="20"/>
          <w:lang w:val="en-GB"/>
        </w:rPr>
      </w:pPr>
      <w:r w:rsidRPr="008050DD">
        <w:rPr>
          <w:rFonts w:ascii="Arial" w:hAnsi="Arial"/>
          <w:b/>
          <w:bCs/>
          <w:szCs w:val="20"/>
          <w:lang w:val="en-GB"/>
        </w:rPr>
        <w:t>Buildings investment growth remains positive</w:t>
      </w:r>
    </w:p>
    <w:p w:rsidR="008050DD" w:rsidRPr="008050DD" w:rsidRDefault="008050DD" w:rsidP="000167B1">
      <w:pPr>
        <w:spacing w:line="240" w:lineRule="auto"/>
        <w:rPr>
          <w:rFonts w:ascii="Arial" w:hAnsi="Arial"/>
          <w:szCs w:val="20"/>
          <w:lang w:val="en-GB"/>
        </w:rPr>
      </w:pPr>
      <w:r w:rsidRPr="008050DD">
        <w:rPr>
          <w:rFonts w:ascii="Arial" w:hAnsi="Arial"/>
          <w:szCs w:val="20"/>
          <w:lang w:val="en-GB"/>
        </w:rPr>
        <w:t>Investment in buildings was the strongest year-on-year performer among all the investment categories in KwaZulu-Natal. This investment category had a good 2012, but the 5.8% year-on-year increase was the smallest of the whole year. Quarter-on-quarter investment in buildings was down 11.7%.</w:t>
      </w:r>
    </w:p>
    <w:p w:rsidR="008050DD" w:rsidRPr="008050DD" w:rsidRDefault="008050DD" w:rsidP="000167B1">
      <w:pPr>
        <w:spacing w:line="240" w:lineRule="auto"/>
        <w:rPr>
          <w:rFonts w:ascii="Arial" w:hAnsi="Arial"/>
          <w:szCs w:val="20"/>
          <w:lang w:val="en-GB"/>
        </w:rPr>
      </w:pPr>
      <w:r w:rsidRPr="008050DD">
        <w:rPr>
          <w:rFonts w:ascii="Arial" w:hAnsi="Arial"/>
          <w:szCs w:val="20"/>
          <w:lang w:val="en-GB"/>
        </w:rPr>
        <w:t>The slower year-on-year growth in buildings was mainly due to a 60% fall in non-residential buildings, which shows there was no commercial building activity. The quarter-on-quarter fall was exacerbated by the fact that building activity always taper down over December.</w:t>
      </w:r>
    </w:p>
    <w:p w:rsidR="008050DD" w:rsidRPr="008050DD" w:rsidRDefault="008050DD" w:rsidP="000167B1">
      <w:pPr>
        <w:spacing w:line="240" w:lineRule="auto"/>
        <w:rPr>
          <w:rFonts w:ascii="Arial" w:hAnsi="Arial"/>
          <w:szCs w:val="20"/>
          <w:lang w:val="en-GB"/>
        </w:rPr>
      </w:pPr>
      <w:r w:rsidRPr="008050DD">
        <w:rPr>
          <w:rFonts w:ascii="Arial" w:hAnsi="Arial"/>
          <w:szCs w:val="20"/>
          <w:lang w:val="en-GB"/>
        </w:rPr>
        <w:lastRenderedPageBreak/>
        <w:t>Residential buildings dropped by 20% year-on-year, a trend which is also reflected in the number of transfers and mortgage applications taking place.</w:t>
      </w:r>
    </w:p>
    <w:p w:rsidR="008050DD" w:rsidRPr="008050DD" w:rsidRDefault="008050DD" w:rsidP="000167B1">
      <w:pPr>
        <w:spacing w:line="240" w:lineRule="auto"/>
        <w:rPr>
          <w:rFonts w:ascii="Arial" w:hAnsi="Arial"/>
          <w:szCs w:val="20"/>
          <w:lang w:val="en-GB"/>
        </w:rPr>
      </w:pPr>
      <w:r w:rsidRPr="008050DD">
        <w:rPr>
          <w:rFonts w:ascii="Arial" w:hAnsi="Arial"/>
          <w:szCs w:val="20"/>
          <w:lang w:val="en-GB"/>
        </w:rPr>
        <w:t>Lumber sales were up 2.6%, an indication that some unreported/ unofficial building is still taking place in KwaZulu-Natal.</w:t>
      </w:r>
    </w:p>
    <w:p w:rsidR="008050DD" w:rsidRPr="008050DD" w:rsidRDefault="008050DD" w:rsidP="000167B1">
      <w:pPr>
        <w:spacing w:line="240" w:lineRule="auto"/>
        <w:rPr>
          <w:rFonts w:ascii="Arial" w:hAnsi="Arial"/>
          <w:szCs w:val="20"/>
          <w:lang w:val="en-GB"/>
        </w:rPr>
      </w:pPr>
    </w:p>
    <w:p w:rsidR="008050DD" w:rsidRPr="008050DD" w:rsidRDefault="008050DD" w:rsidP="000167B1">
      <w:pPr>
        <w:spacing w:line="240" w:lineRule="auto"/>
        <w:rPr>
          <w:rFonts w:ascii="Arial" w:hAnsi="Arial"/>
          <w:b/>
          <w:bCs/>
          <w:szCs w:val="20"/>
          <w:lang w:val="en-GB"/>
        </w:rPr>
      </w:pPr>
      <w:r w:rsidRPr="008050DD">
        <w:rPr>
          <w:rFonts w:ascii="Arial" w:hAnsi="Arial"/>
          <w:b/>
          <w:bCs/>
          <w:szCs w:val="20"/>
          <w:lang w:val="en-GB"/>
        </w:rPr>
        <w:t>Short-term growth for transfers investment</w:t>
      </w:r>
    </w:p>
    <w:p w:rsidR="008050DD" w:rsidRPr="008050DD" w:rsidRDefault="008050DD" w:rsidP="000167B1">
      <w:pPr>
        <w:spacing w:line="240" w:lineRule="auto"/>
        <w:rPr>
          <w:rFonts w:ascii="Arial" w:hAnsi="Arial"/>
          <w:szCs w:val="20"/>
          <w:lang w:val="en-GB"/>
        </w:rPr>
      </w:pPr>
      <w:r w:rsidRPr="008050DD">
        <w:rPr>
          <w:rFonts w:ascii="Arial" w:hAnsi="Arial"/>
          <w:szCs w:val="20"/>
          <w:lang w:val="en-GB"/>
        </w:rPr>
        <w:t>Investment in transfers, which contributes only around 2% to the total investment index, declined by 2.6% year-on-year, but gained 3.7% quarter-on-quarter. The year-on-year decline shows that there is very little activity in the residential housing sector. Most consumers have bigger things to worry about and have simply too much debt to be buying houses at the moment. Apart from some transactions by higher-income groups, the decline in transfers should continue for a while.</w:t>
      </w:r>
    </w:p>
    <w:p w:rsidR="008050DD" w:rsidRPr="008050DD" w:rsidRDefault="008050DD" w:rsidP="000167B1">
      <w:pPr>
        <w:spacing w:line="240" w:lineRule="auto"/>
        <w:rPr>
          <w:rFonts w:ascii="Arial" w:hAnsi="Arial"/>
          <w:szCs w:val="20"/>
          <w:lang w:val="en-GB"/>
        </w:rPr>
      </w:pPr>
    </w:p>
    <w:p w:rsidR="008050DD" w:rsidRPr="008050DD" w:rsidRDefault="008050DD" w:rsidP="000167B1">
      <w:pPr>
        <w:spacing w:line="240" w:lineRule="auto"/>
        <w:rPr>
          <w:rFonts w:ascii="Arial" w:hAnsi="Arial"/>
          <w:b/>
          <w:bCs/>
          <w:szCs w:val="20"/>
          <w:lang w:val="en-GB"/>
        </w:rPr>
      </w:pPr>
      <w:r w:rsidRPr="008050DD">
        <w:rPr>
          <w:rFonts w:ascii="Arial" w:hAnsi="Arial"/>
          <w:b/>
          <w:bCs/>
          <w:szCs w:val="20"/>
          <w:lang w:val="en-GB"/>
        </w:rPr>
        <w:t>Road maintenance can’t keep civil construction investment afloat</w:t>
      </w:r>
    </w:p>
    <w:p w:rsidR="008050DD" w:rsidRPr="008050DD" w:rsidRDefault="008050DD" w:rsidP="000167B1">
      <w:pPr>
        <w:spacing w:line="240" w:lineRule="auto"/>
        <w:rPr>
          <w:rFonts w:ascii="Arial" w:hAnsi="Arial"/>
          <w:szCs w:val="20"/>
          <w:lang w:val="en-GB"/>
        </w:rPr>
      </w:pPr>
      <w:r w:rsidRPr="008050DD">
        <w:rPr>
          <w:rFonts w:ascii="Arial" w:hAnsi="Arial"/>
          <w:szCs w:val="20"/>
          <w:lang w:val="en-GB"/>
        </w:rPr>
        <w:t>Investment in civil construction in KwaZulu-Natal also did not perform well in December when compared to the double-digit growth for most of last year. Year-on-year investment in civil construction grew by 2.1%. Although this was better than the previous month’s 1.6% growth, it was still not very good. Quarter-on-quarter investment in civil construction declined by 0.4%.</w:t>
      </w:r>
    </w:p>
    <w:p w:rsidR="008050DD" w:rsidRPr="008050DD" w:rsidRDefault="008050DD" w:rsidP="000167B1">
      <w:pPr>
        <w:spacing w:line="240" w:lineRule="auto"/>
        <w:rPr>
          <w:rFonts w:ascii="Arial" w:hAnsi="Arial"/>
          <w:szCs w:val="20"/>
          <w:lang w:val="en-GB"/>
        </w:rPr>
      </w:pPr>
      <w:r w:rsidRPr="008050DD">
        <w:rPr>
          <w:rFonts w:ascii="Arial" w:hAnsi="Arial"/>
          <w:szCs w:val="20"/>
          <w:lang w:val="en-GB"/>
        </w:rPr>
        <w:t>The low year-on-year growth shows there is simply no major infrastructure development happening. The little construction that is happening, like routine road maintenance, is just enough to keep the sector going, but not really adequate to ensure growth.</w:t>
      </w:r>
    </w:p>
    <w:p w:rsidR="008050DD" w:rsidRPr="008050DD" w:rsidRDefault="008050DD" w:rsidP="000167B1">
      <w:pPr>
        <w:spacing w:line="240" w:lineRule="auto"/>
        <w:rPr>
          <w:rFonts w:ascii="Arial" w:hAnsi="Arial"/>
          <w:szCs w:val="20"/>
          <w:lang w:val="en-GB"/>
        </w:rPr>
      </w:pPr>
    </w:p>
    <w:p w:rsidR="008050DD" w:rsidRPr="008050DD" w:rsidRDefault="008050DD" w:rsidP="000167B1">
      <w:pPr>
        <w:spacing w:line="240" w:lineRule="auto"/>
        <w:rPr>
          <w:rFonts w:ascii="Arial" w:hAnsi="Arial"/>
          <w:b/>
          <w:bCs/>
          <w:szCs w:val="20"/>
          <w:lang w:val="en-GB"/>
        </w:rPr>
      </w:pPr>
      <w:r w:rsidRPr="008050DD">
        <w:rPr>
          <w:rFonts w:ascii="Arial" w:hAnsi="Arial"/>
          <w:b/>
          <w:bCs/>
          <w:szCs w:val="20"/>
          <w:lang w:val="en-GB"/>
        </w:rPr>
        <w:t>Weak rand pushes machinery and ICT equipment investment down</w:t>
      </w:r>
    </w:p>
    <w:p w:rsidR="008050DD" w:rsidRPr="008050DD" w:rsidRDefault="008050DD" w:rsidP="000167B1">
      <w:pPr>
        <w:spacing w:line="240" w:lineRule="auto"/>
        <w:rPr>
          <w:rFonts w:ascii="Arial" w:hAnsi="Arial"/>
          <w:szCs w:val="20"/>
          <w:lang w:val="en-GB"/>
        </w:rPr>
      </w:pPr>
      <w:r w:rsidRPr="008050DD">
        <w:rPr>
          <w:rFonts w:ascii="Arial" w:hAnsi="Arial"/>
          <w:szCs w:val="20"/>
          <w:lang w:val="en-GB"/>
        </w:rPr>
        <w:t>Investments in machinery and ICT equipment are both very dependent on the rand’s exchange rate. Investment in machinery declined by 2.6% year-on-year. This was the second consecutive month of decline after it grew by double digits for most on 2012. Investment in ICT equipment, which also enjoyed double-digit growth for most of last year, grew by only 2% year-on-year.</w:t>
      </w:r>
    </w:p>
    <w:p w:rsidR="008050DD" w:rsidRPr="008050DD" w:rsidRDefault="008050DD" w:rsidP="000167B1">
      <w:pPr>
        <w:spacing w:line="240" w:lineRule="auto"/>
        <w:rPr>
          <w:rFonts w:ascii="Arial" w:hAnsi="Arial"/>
          <w:szCs w:val="20"/>
          <w:lang w:val="en-GB"/>
        </w:rPr>
      </w:pPr>
      <w:r w:rsidRPr="008050DD">
        <w:rPr>
          <w:rFonts w:ascii="Arial" w:hAnsi="Arial"/>
          <w:szCs w:val="20"/>
          <w:lang w:val="en-GB"/>
        </w:rPr>
        <w:t>The slowdown in investment in these two categories is expected to continue in 2013 as the rand’s exchange rate fell to more than R9 to the dollar early in the year already.</w:t>
      </w:r>
    </w:p>
    <w:p w:rsidR="008050DD" w:rsidRPr="008050DD" w:rsidRDefault="008050DD" w:rsidP="000167B1">
      <w:pPr>
        <w:spacing w:line="240" w:lineRule="auto"/>
        <w:rPr>
          <w:rFonts w:ascii="Arial" w:hAnsi="Arial"/>
          <w:szCs w:val="20"/>
          <w:lang w:val="en-GB"/>
        </w:rPr>
      </w:pPr>
      <w:r w:rsidRPr="008050DD">
        <w:rPr>
          <w:rFonts w:ascii="Arial" w:hAnsi="Arial"/>
          <w:szCs w:val="20"/>
          <w:lang w:val="en-GB"/>
        </w:rPr>
        <w:t xml:space="preserve">The initial weakening of the currency last year led to some pre-emptive purchasing of machinery and ICT equipment in anticipation of further weakening, but that has now come to an end. Aside from the fact that machinery and ICT equipment are often expensive, the weak currency is making it even more expensive, making it logical for businesses to cut back on investment. A lot of businesses are simply maintaining their existing equipment and using it for longer. The lack of investment in machinery and ICT equipment could also be a cost-cutting measure, as buying less equipment means businesses have a little bit more money at their disposal. </w:t>
      </w:r>
    </w:p>
    <w:p w:rsidR="008050DD" w:rsidRPr="008050DD" w:rsidRDefault="008050DD" w:rsidP="000167B1">
      <w:pPr>
        <w:spacing w:line="240" w:lineRule="auto"/>
        <w:rPr>
          <w:rFonts w:ascii="Arial" w:hAnsi="Arial"/>
          <w:szCs w:val="20"/>
          <w:lang w:val="en-GB"/>
        </w:rPr>
      </w:pPr>
    </w:p>
    <w:p w:rsidR="008050DD" w:rsidRPr="008050DD" w:rsidRDefault="008050DD" w:rsidP="000167B1">
      <w:pPr>
        <w:spacing w:line="240" w:lineRule="auto"/>
        <w:rPr>
          <w:rFonts w:ascii="Arial" w:hAnsi="Arial"/>
          <w:szCs w:val="20"/>
          <w:lang w:val="en-GB"/>
        </w:rPr>
      </w:pPr>
    </w:p>
    <w:p w:rsidR="00D43E5D" w:rsidRDefault="00D43E5D" w:rsidP="000167B1">
      <w:pPr>
        <w:spacing w:line="240" w:lineRule="auto"/>
        <w:rPr>
          <w:rFonts w:ascii="Arial" w:hAnsi="Arial"/>
          <w:szCs w:val="20"/>
        </w:rPr>
      </w:pPr>
    </w:p>
    <w:p w:rsidR="00D43E5D" w:rsidRDefault="008050DD" w:rsidP="000167B1">
      <w:pPr>
        <w:spacing w:line="240" w:lineRule="auto"/>
        <w:rPr>
          <w:rFonts w:ascii="Arial" w:hAnsi="Arial"/>
          <w:b/>
          <w:szCs w:val="20"/>
        </w:rPr>
      </w:pPr>
      <w:r>
        <w:rPr>
          <w:rFonts w:ascii="Arial" w:hAnsi="Arial"/>
          <w:b/>
          <w:szCs w:val="20"/>
        </w:rPr>
        <w:t>December</w:t>
      </w:r>
      <w:r w:rsidR="00FC15FD">
        <w:rPr>
          <w:rFonts w:ascii="Arial" w:hAnsi="Arial"/>
          <w:b/>
          <w:szCs w:val="20"/>
        </w:rPr>
        <w:t xml:space="preserve"> 2012</w:t>
      </w:r>
      <w:r w:rsidR="00CC3DFA" w:rsidRPr="00CC3DFA">
        <w:rPr>
          <w:rFonts w:ascii="Arial" w:hAnsi="Arial"/>
          <w:b/>
          <w:szCs w:val="20"/>
        </w:rPr>
        <w:t xml:space="preserve"> Results Table:</w:t>
      </w:r>
    </w:p>
    <w:p w:rsidR="000167B1" w:rsidRDefault="000167B1" w:rsidP="000167B1">
      <w:pPr>
        <w:spacing w:line="240" w:lineRule="auto"/>
        <w:rPr>
          <w:rFonts w:ascii="Arial" w:hAnsi="Arial"/>
          <w:b/>
          <w:szCs w:val="20"/>
        </w:rPr>
      </w:pPr>
    </w:p>
    <w:p w:rsidR="000167B1" w:rsidRPr="00CC3DFA" w:rsidRDefault="000167B1" w:rsidP="000167B1">
      <w:pPr>
        <w:spacing w:line="240" w:lineRule="auto"/>
        <w:rPr>
          <w:rFonts w:ascii="Arial" w:hAnsi="Arial"/>
          <w:b/>
          <w:szCs w:val="20"/>
        </w:rPr>
      </w:pPr>
      <w:bookmarkStart w:id="0" w:name="_GoBack"/>
      <w:bookmarkEnd w:id="0"/>
    </w:p>
    <w:p w:rsidR="006A1C35" w:rsidRDefault="008050DD" w:rsidP="006A1C35">
      <w:pPr>
        <w:spacing w:line="240" w:lineRule="auto"/>
        <w:rPr>
          <w:rFonts w:ascii="Arial" w:hAnsi="Arial"/>
          <w:szCs w:val="20"/>
        </w:rPr>
      </w:pPr>
      <w:r w:rsidRPr="008050DD">
        <w:rPr>
          <w:noProof/>
          <w:lang w:val="en-ZA" w:eastAsia="en-ZA"/>
        </w:rPr>
        <w:drawing>
          <wp:inline distT="0" distB="0" distL="0" distR="0">
            <wp:extent cx="5288280" cy="2072640"/>
            <wp:effectExtent l="0" t="0" r="762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288280" cy="2072640"/>
                    </a:xfrm>
                    <a:prstGeom prst="rect">
                      <a:avLst/>
                    </a:prstGeom>
                    <a:noFill/>
                    <a:ln>
                      <a:noFill/>
                    </a:ln>
                  </pic:spPr>
                </pic:pic>
              </a:graphicData>
            </a:graphic>
          </wp:inline>
        </w:drawing>
      </w:r>
    </w:p>
    <w:sectPr w:rsidR="006A1C35" w:rsidSect="003B0BDF">
      <w:headerReference w:type="default" r:id="rId11"/>
      <w:footerReference w:type="default" r:id="rId12"/>
      <w:pgSz w:w="12240" w:h="15840"/>
      <w:pgMar w:top="1276" w:right="1041" w:bottom="1440" w:left="993" w:header="426"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B37E3" w:rsidRDefault="006B37E3" w:rsidP="005A53F9">
      <w:pPr>
        <w:spacing w:line="240" w:lineRule="auto"/>
      </w:pPr>
      <w:r>
        <w:separator/>
      </w:r>
    </w:p>
  </w:endnote>
  <w:endnote w:type="continuationSeparator" w:id="0">
    <w:p w:rsidR="006B37E3" w:rsidRDefault="006B37E3" w:rsidP="005A53F9">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551F" w:rsidRDefault="00910235">
    <w:pPr>
      <w:pStyle w:val="Footer"/>
    </w:pPr>
    <w:r>
      <w:rPr>
        <w:noProof/>
        <w:lang w:val="en-ZA" w:eastAsia="en-ZA"/>
      </w:rPr>
      <w:pict>
        <v:shapetype id="_x0000_t202" coordsize="21600,21600" o:spt="202" path="m,l,21600r21600,l21600,xe">
          <v:stroke joinstyle="miter"/>
          <v:path gradientshapeok="t" o:connecttype="rect"/>
        </v:shapetype>
        <v:shape id="Text Box 4" o:spid="_x0000_s4099" type="#_x0000_t202" style="position:absolute;left:0;text-align:left;margin-left:407.95pt;margin-top:1.5pt;width:152.75pt;height:88.35pt;z-index:25166028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" stroked="f">
          <v:textbox>
            <w:txbxContent>
              <w:p w:rsidR="0078551F" w:rsidRPr="009A05FE" w:rsidRDefault="0078551F" w:rsidP="003D2C89">
                <w:pPr>
                  <w:spacing w:line="240" w:lineRule="auto"/>
                  <w:jc w:val="left"/>
                  <w:rPr>
                    <w:rFonts w:eastAsia="Times New Roman" w:cs="Tahoma"/>
                    <w:color w:val="auto"/>
                    <w:sz w:val="16"/>
                    <w:szCs w:val="16"/>
                  </w:rPr>
                </w:pPr>
                <w:r w:rsidRPr="009A05FE">
                  <w:rPr>
                    <w:rFonts w:eastAsia="Times New Roman" w:cs="Tahoma"/>
                    <w:color w:val="auto"/>
                    <w:sz w:val="16"/>
                    <w:szCs w:val="16"/>
                  </w:rPr>
                  <w:t>Trade and Investment</w:t>
                </w:r>
                <w:r w:rsidRPr="000C27C2">
                  <w:rPr>
                    <w:rFonts w:eastAsia="Times New Roman" w:cs="Tahoma"/>
                    <w:color w:val="auto"/>
                    <w:sz w:val="16"/>
                    <w:szCs w:val="16"/>
                  </w:rPr>
                  <w:t xml:space="preserve"> House</w:t>
                </w:r>
                <w:r w:rsidRPr="000C27C2">
                  <w:rPr>
                    <w:rFonts w:eastAsia="Times New Roman" w:cs="Tahoma"/>
                    <w:color w:val="auto"/>
                    <w:sz w:val="16"/>
                    <w:szCs w:val="16"/>
                  </w:rPr>
                  <w:br/>
                </w:r>
                <w:r w:rsidRPr="009A05FE">
                  <w:rPr>
                    <w:rFonts w:eastAsia="Times New Roman" w:cs="Tahoma"/>
                    <w:color w:val="auto"/>
                    <w:sz w:val="16"/>
                    <w:szCs w:val="16"/>
                  </w:rPr>
                  <w:t>Kingsmead Office Park</w:t>
                </w:r>
              </w:p>
              <w:p w:rsidR="0078551F" w:rsidRPr="009A05FE" w:rsidRDefault="0078551F" w:rsidP="003D2C89">
                <w:pPr>
                  <w:spacing w:line="240" w:lineRule="auto"/>
                  <w:jc w:val="left"/>
                  <w:rPr>
                    <w:rFonts w:eastAsia="Times New Roman" w:cs="Tahoma"/>
                    <w:color w:val="auto"/>
                    <w:sz w:val="16"/>
                    <w:szCs w:val="16"/>
                  </w:rPr>
                </w:pPr>
                <w:r>
                  <w:rPr>
                    <w:rFonts w:eastAsia="Times New Roman" w:cs="Tahoma"/>
                    <w:color w:val="auto"/>
                    <w:sz w:val="16"/>
                    <w:szCs w:val="16"/>
                  </w:rPr>
                  <w:t xml:space="preserve">Kingsmead Boulevard, </w:t>
                </w:r>
                <w:r w:rsidRPr="009A05FE">
                  <w:rPr>
                    <w:rFonts w:eastAsia="Times New Roman" w:cs="Tahoma"/>
                    <w:color w:val="auto"/>
                    <w:sz w:val="16"/>
                    <w:szCs w:val="16"/>
                  </w:rPr>
                  <w:t>Durban</w:t>
                </w:r>
              </w:p>
              <w:p w:rsidR="0078551F" w:rsidRPr="009A05FE" w:rsidRDefault="0078551F" w:rsidP="003D2C89">
                <w:pPr>
                  <w:spacing w:line="240" w:lineRule="auto"/>
                  <w:jc w:val="left"/>
                  <w:rPr>
                    <w:rFonts w:eastAsia="Times New Roman" w:cs="Tahoma"/>
                    <w:color w:val="auto"/>
                    <w:sz w:val="16"/>
                    <w:szCs w:val="16"/>
                  </w:rPr>
                </w:pPr>
                <w:r w:rsidRPr="009A05FE">
                  <w:rPr>
                    <w:rFonts w:eastAsia="Times New Roman" w:cs="Tahoma"/>
                    <w:color w:val="auto"/>
                    <w:sz w:val="16"/>
                    <w:szCs w:val="16"/>
                  </w:rPr>
                  <w:t>Tel: +27 31 368 9600</w:t>
                </w:r>
              </w:p>
              <w:p w:rsidR="00680206" w:rsidRDefault="00680206" w:rsidP="003D2C89">
                <w:pPr>
                  <w:spacing w:line="240" w:lineRule="auto"/>
                  <w:jc w:val="left"/>
                  <w:rPr>
                    <w:rFonts w:eastAsia="Times New Roman" w:cs="Tahoma"/>
                    <w:color w:val="auto"/>
                    <w:sz w:val="16"/>
                    <w:szCs w:val="16"/>
                  </w:rPr>
                </w:pPr>
                <w:r>
                  <w:rPr>
                    <w:rFonts w:eastAsia="Times New Roman" w:cs="Tahoma"/>
                    <w:color w:val="auto"/>
                    <w:sz w:val="16"/>
                    <w:szCs w:val="16"/>
                  </w:rPr>
                  <w:t xml:space="preserve">Email: </w:t>
                </w:r>
                <w:r w:rsidRPr="00680206">
                  <w:rPr>
                    <w:rFonts w:eastAsia="Times New Roman" w:cs="Tahoma"/>
                    <w:color w:val="auto"/>
                    <w:sz w:val="16"/>
                    <w:szCs w:val="16"/>
                  </w:rPr>
                  <w:t>info@tikzn.co.za</w:t>
                </w:r>
              </w:p>
              <w:p w:rsidR="00680206" w:rsidRDefault="00680206" w:rsidP="003D2C89">
                <w:pPr>
                  <w:spacing w:line="240" w:lineRule="auto"/>
                  <w:jc w:val="left"/>
                  <w:rPr>
                    <w:rFonts w:eastAsia="Times New Roman" w:cs="Tahoma"/>
                    <w:color w:val="auto"/>
                    <w:sz w:val="16"/>
                    <w:szCs w:val="16"/>
                  </w:rPr>
                </w:pPr>
                <w:r>
                  <w:rPr>
                    <w:rFonts w:eastAsia="Times New Roman" w:cs="Tahoma"/>
                    <w:color w:val="auto"/>
                    <w:sz w:val="16"/>
                    <w:szCs w:val="16"/>
                  </w:rPr>
                  <w:t xml:space="preserve">Web: </w:t>
                </w:r>
                <w:r w:rsidRPr="00680206">
                  <w:rPr>
                    <w:rFonts w:eastAsia="Times New Roman" w:cs="Tahoma"/>
                    <w:color w:val="auto"/>
                    <w:sz w:val="16"/>
                    <w:szCs w:val="16"/>
                  </w:rPr>
                  <w:t>www.tikzn.co.za</w:t>
                </w:r>
              </w:p>
              <w:p w:rsidR="00680206" w:rsidRDefault="00680206" w:rsidP="003D2C89">
                <w:pPr>
                  <w:spacing w:line="240" w:lineRule="auto"/>
                  <w:jc w:val="left"/>
                  <w:rPr>
                    <w:rFonts w:eastAsia="Times New Roman" w:cs="Tahoma"/>
                    <w:color w:val="auto"/>
                    <w:sz w:val="16"/>
                    <w:szCs w:val="16"/>
                  </w:rPr>
                </w:pPr>
              </w:p>
              <w:p w:rsidR="00680206" w:rsidRPr="009A05FE" w:rsidRDefault="00680206" w:rsidP="00680206">
                <w:pPr>
                  <w:spacing w:line="240" w:lineRule="auto"/>
                  <w:jc w:val="left"/>
                  <w:rPr>
                    <w:rFonts w:eastAsia="Times New Roman" w:cs="Tahoma"/>
                    <w:color w:val="auto"/>
                    <w:sz w:val="16"/>
                    <w:szCs w:val="16"/>
                  </w:rPr>
                </w:pPr>
                <w:r w:rsidRPr="009A05FE">
                  <w:rPr>
                    <w:rFonts w:eastAsia="Times New Roman" w:cs="Tahoma"/>
                    <w:color w:val="auto"/>
                    <w:sz w:val="16"/>
                    <w:szCs w:val="16"/>
                  </w:rPr>
                  <w:t>Gauteng Office: +27 12 346 4386</w:t>
                </w:r>
              </w:p>
              <w:p w:rsidR="00680206" w:rsidRDefault="00680206" w:rsidP="003D2C89">
                <w:pPr>
                  <w:spacing w:line="240" w:lineRule="auto"/>
                  <w:jc w:val="left"/>
                  <w:rPr>
                    <w:rFonts w:eastAsia="Times New Roman" w:cs="Tahoma"/>
                    <w:color w:val="auto"/>
                    <w:sz w:val="16"/>
                    <w:szCs w:val="16"/>
                  </w:rPr>
                </w:pPr>
              </w:p>
            </w:txbxContent>
          </v:textbox>
        </v:shape>
      </w:pict>
    </w:r>
    <w:r>
      <w:rPr>
        <w:noProof/>
        <w:lang w:val="en-ZA" w:eastAsia="en-ZA"/>
      </w:rPr>
      <w:pict>
        <v:shape id="Text Box 3" o:spid="_x0000_s4098" type="#_x0000_t202" style="position:absolute;left:0;text-align:left;margin-left:4.95pt;margin-top:1.5pt;width:146.25pt;height:71.55pt;z-index:25165926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" stroked="f">
          <v:textbox>
            <w:txbxContent>
              <w:p w:rsidR="0078551F" w:rsidRPr="009A05FE" w:rsidRDefault="0078551F" w:rsidP="00680206">
                <w:pPr>
                  <w:pStyle w:val="NormalWeb"/>
                  <w:spacing w:before="0" w:beforeAutospacing="0" w:after="0" w:afterAutospacing="0"/>
                  <w:rPr>
                    <w:rFonts w:ascii="Verdana" w:hAnsi="Verdana" w:cs="Tahoma"/>
                    <w:sz w:val="16"/>
                    <w:szCs w:val="16"/>
                  </w:rPr>
                </w:pPr>
                <w:r w:rsidRPr="009A05FE">
                  <w:rPr>
                    <w:rFonts w:ascii="Verdana" w:hAnsi="Verdana" w:cs="Tahoma"/>
                    <w:sz w:val="16"/>
                    <w:szCs w:val="16"/>
                  </w:rPr>
                  <w:t xml:space="preserve">Ex-Joshua Doore </w:t>
                </w:r>
                <w:r>
                  <w:rPr>
                    <w:rFonts w:ascii="Verdana" w:hAnsi="Verdana" w:cs="Tahoma"/>
                    <w:sz w:val="16"/>
                    <w:szCs w:val="16"/>
                  </w:rPr>
                  <w:t>building</w:t>
                </w:r>
                <w:r>
                  <w:rPr>
                    <w:rFonts w:ascii="Verdana" w:hAnsi="Verdana" w:cs="Tahoma"/>
                    <w:sz w:val="16"/>
                    <w:szCs w:val="16"/>
                  </w:rPr>
                  <w:br/>
                  <w:t>270 Jabu Ndlovu Street</w:t>
                </w:r>
                <w:r w:rsidRPr="009A05FE">
                  <w:rPr>
                    <w:rFonts w:ascii="Verdana" w:hAnsi="Verdana" w:cs="Tahoma"/>
                    <w:sz w:val="16"/>
                    <w:szCs w:val="16"/>
                  </w:rPr>
                  <w:br/>
                  <w:t>Pi</w:t>
                </w:r>
                <w:r>
                  <w:rPr>
                    <w:rFonts w:ascii="Verdana" w:hAnsi="Verdana" w:cs="Tahoma"/>
                    <w:sz w:val="16"/>
                    <w:szCs w:val="16"/>
                  </w:rPr>
                  <w:t>e</w:t>
                </w:r>
                <w:r w:rsidRPr="009A05FE">
                  <w:rPr>
                    <w:rFonts w:ascii="Verdana" w:hAnsi="Verdana" w:cs="Tahoma"/>
                    <w:sz w:val="16"/>
                    <w:szCs w:val="16"/>
                  </w:rPr>
                  <w:t>termaritzburg</w:t>
                </w:r>
              </w:p>
              <w:p w:rsidR="0078551F" w:rsidRPr="009A05FE" w:rsidRDefault="0078551F" w:rsidP="00680206">
                <w:pPr>
                  <w:spacing w:line="240" w:lineRule="auto"/>
                  <w:rPr>
                    <w:color w:val="auto"/>
                    <w:sz w:val="16"/>
                    <w:szCs w:val="16"/>
                  </w:rPr>
                </w:pPr>
                <w:r w:rsidRPr="009A05FE">
                  <w:rPr>
                    <w:color w:val="auto"/>
                    <w:sz w:val="16"/>
                    <w:szCs w:val="16"/>
                  </w:rPr>
                  <w:t>Tel: +27 33 264 2500</w:t>
                </w:r>
              </w:p>
              <w:p w:rsidR="0078551F" w:rsidRPr="009A05FE" w:rsidRDefault="0078551F" w:rsidP="00680206">
                <w:pPr>
                  <w:spacing w:line="240" w:lineRule="auto"/>
                  <w:rPr>
                    <w:color w:val="auto"/>
                    <w:sz w:val="16"/>
                    <w:szCs w:val="16"/>
                  </w:rPr>
                </w:pPr>
                <w:r w:rsidRPr="009A05FE">
                  <w:rPr>
                    <w:color w:val="auto"/>
                    <w:sz w:val="16"/>
                    <w:szCs w:val="16"/>
                  </w:rPr>
                  <w:t>Web: www.kznded.gov.za</w:t>
                </w:r>
              </w:p>
            </w:txbxContent>
          </v:textbox>
        </v:shape>
      </w:pict>
    </w:r>
    <w:r>
      <w:rPr>
        <w:noProof/>
        <w:lang w:val="en-ZA" w:eastAsia="en-ZA"/>
      </w:rPr>
      <w:pict>
        <v:shape id="Text Box 2" o:spid="_x0000_s4097" type="#_x0000_t202" style="position:absolute;left:0;text-align:left;margin-left:210.1pt;margin-top:1.5pt;width:155pt;height:75.75pt;z-index:25165824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" stroked="f">
          <v:textbox>
            <w:txbxContent>
              <w:p w:rsidR="0078551F" w:rsidRPr="009A05FE" w:rsidRDefault="0078551F" w:rsidP="00680206">
                <w:pPr>
                  <w:spacing w:line="240" w:lineRule="auto"/>
                  <w:jc w:val="left"/>
                  <w:rPr>
                    <w:color w:val="auto"/>
                    <w:sz w:val="16"/>
                    <w:szCs w:val="16"/>
                  </w:rPr>
                </w:pPr>
                <w:r w:rsidRPr="000C27C2">
                  <w:rPr>
                    <w:rFonts w:eastAsia="Times New Roman" w:cs="Tahoma"/>
                    <w:color w:val="auto"/>
                    <w:sz w:val="16"/>
                    <w:szCs w:val="16"/>
                  </w:rPr>
                  <w:t>Treasury House</w:t>
                </w:r>
                <w:r w:rsidRPr="000C27C2">
                  <w:rPr>
                    <w:rFonts w:eastAsia="Times New Roman" w:cs="Tahoma"/>
                    <w:color w:val="auto"/>
                    <w:sz w:val="16"/>
                    <w:szCs w:val="16"/>
                  </w:rPr>
                  <w:br/>
                  <w:t>145 Chief Albert Luthuli</w:t>
                </w:r>
                <w:r w:rsidRPr="000C27C2">
                  <w:rPr>
                    <w:rFonts w:eastAsia="Times New Roman" w:cs="Tahoma"/>
                    <w:color w:val="auto"/>
                    <w:sz w:val="16"/>
                    <w:szCs w:val="16"/>
                  </w:rPr>
                  <w:br/>
                  <w:t>Pietermaritzburg</w:t>
                </w:r>
                <w:r w:rsidRPr="009A05FE">
                  <w:rPr>
                    <w:rFonts w:eastAsia="Times New Roman" w:cs="Tahoma"/>
                    <w:color w:val="auto"/>
                    <w:sz w:val="16"/>
                    <w:szCs w:val="16"/>
                  </w:rPr>
                  <w:br/>
                </w:r>
                <w:r w:rsidRPr="009A05FE">
                  <w:rPr>
                    <w:color w:val="auto"/>
                    <w:sz w:val="16"/>
                    <w:szCs w:val="16"/>
                  </w:rPr>
                  <w:t>Tel: +27 33 897 4200</w:t>
                </w:r>
              </w:p>
              <w:p w:rsidR="0078551F" w:rsidRPr="009A05FE" w:rsidRDefault="0078551F" w:rsidP="00680206">
                <w:pPr>
                  <w:spacing w:line="240" w:lineRule="auto"/>
                  <w:jc w:val="left"/>
                  <w:rPr>
                    <w:color w:val="auto"/>
                    <w:sz w:val="16"/>
                    <w:szCs w:val="16"/>
                  </w:rPr>
                </w:pPr>
                <w:r w:rsidRPr="009A05FE">
                  <w:rPr>
                    <w:color w:val="auto"/>
                    <w:sz w:val="16"/>
                    <w:szCs w:val="16"/>
                  </w:rPr>
                  <w:t>Web: www.kzntreasury.gov.za</w:t>
                </w:r>
              </w:p>
            </w:txbxContent>
          </v:textbox>
        </v:shape>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551F" w:rsidRDefault="0078551F">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B37E3" w:rsidRDefault="006B37E3" w:rsidP="005A53F9">
      <w:pPr>
        <w:spacing w:line="240" w:lineRule="auto"/>
      </w:pPr>
      <w:r>
        <w:separator/>
      </w:r>
    </w:p>
  </w:footnote>
  <w:footnote w:type="continuationSeparator" w:id="0">
    <w:p w:rsidR="006B37E3" w:rsidRDefault="006B37E3" w:rsidP="005A53F9">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551F" w:rsidRDefault="0078551F">
    <w:pPr>
      <w:pStyle w:val="Header"/>
    </w:pPr>
    <w:r w:rsidRPr="005A53F9">
      <w:rPr>
        <w:noProof/>
        <w:lang w:val="en-ZA" w:eastAsia="en-ZA"/>
      </w:rPr>
      <w:drawing>
        <wp:inline distT="0" distB="0" distL="0" distR="0">
          <wp:extent cx="2162175" cy="771525"/>
          <wp:effectExtent l="19050" t="0" r="9525" b="0"/>
          <wp:docPr id="4" name="Picture 2" descr="Correc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orrect LOGO"/>
                  <pic:cNvPicPr>
                    <a:picLocks noChangeAspect="1" noChangeArrowheads="1"/>
                  </pic:cNvPicPr>
                </pic:nvPicPr>
                <pic:blipFill>
                  <a:blip r:embed="rId1" cstate="print"/>
                  <a:srcRect/>
                  <a:stretch>
                    <a:fillRect/>
                  </a:stretch>
                </pic:blipFill>
                <pic:spPr bwMode="auto">
                  <a:xfrm>
                    <a:off x="0" y="0"/>
                    <a:ext cx="2162175" cy="771525"/>
                  </a:xfrm>
                  <a:prstGeom prst="rect">
                    <a:avLst/>
                  </a:prstGeom>
                  <a:noFill/>
                  <a:ln w="9525">
                    <a:noFill/>
                    <a:miter lim="800000"/>
                    <a:headEnd/>
                    <a:tailEnd/>
                  </a:ln>
                </pic:spPr>
              </pic:pic>
            </a:graphicData>
          </a:graphic>
        </wp:inline>
      </w:drawing>
    </w:r>
    <w:r>
      <w:t xml:space="preserve">     </w:t>
    </w:r>
    <w:r w:rsidRPr="005A53F9">
      <w:rPr>
        <w:noProof/>
        <w:lang w:val="en-ZA" w:eastAsia="en-ZA"/>
      </w:rPr>
      <w:drawing>
        <wp:inline distT="0" distB="0" distL="0" distR="0">
          <wp:extent cx="2124075" cy="676275"/>
          <wp:effectExtent l="19050" t="0" r="9525" b="0"/>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cstate="print"/>
                  <a:srcRect/>
                  <a:stretch>
                    <a:fillRect/>
                  </a:stretch>
                </pic:blipFill>
                <pic:spPr bwMode="auto">
                  <a:xfrm>
                    <a:off x="0" y="0"/>
                    <a:ext cx="2124075" cy="676275"/>
                  </a:xfrm>
                  <a:prstGeom prst="rect">
                    <a:avLst/>
                  </a:prstGeom>
                  <a:noFill/>
                  <a:ln w="9525">
                    <a:noFill/>
                    <a:miter lim="800000"/>
                    <a:headEnd/>
                    <a:tailEnd/>
                  </a:ln>
                </pic:spPr>
              </pic:pic>
            </a:graphicData>
          </a:graphic>
        </wp:inline>
      </w:drawing>
    </w:r>
    <w:r>
      <w:t xml:space="preserve">  </w:t>
    </w:r>
    <w:r w:rsidRPr="005A53F9">
      <w:rPr>
        <w:noProof/>
        <w:lang w:val="en-ZA" w:eastAsia="en-ZA"/>
      </w:rPr>
      <w:drawing>
        <wp:inline distT="0" distB="0" distL="0" distR="0">
          <wp:extent cx="2324100" cy="600075"/>
          <wp:effectExtent l="19050" t="0" r="0" b="0"/>
          <wp:docPr id="6" name="Picture 11" descr="top 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top 7.jpg"/>
                  <pic:cNvPicPr>
                    <a:picLocks noChangeAspect="1" noChangeArrowheads="1"/>
                  </pic:cNvPicPr>
                </pic:nvPicPr>
                <pic:blipFill>
                  <a:blip r:embed="rId3" cstate="print"/>
                  <a:srcRect/>
                  <a:stretch>
                    <a:fillRect/>
                  </a:stretch>
                </pic:blipFill>
                <pic:spPr bwMode="auto">
                  <a:xfrm>
                    <a:off x="0" y="0"/>
                    <a:ext cx="2324100" cy="600075"/>
                  </a:xfrm>
                  <a:prstGeom prst="rect">
                    <a:avLst/>
                  </a:prstGeom>
                  <a:noFill/>
                  <a:ln w="9525">
                    <a:noFill/>
                    <a:miter lim="800000"/>
                    <a:headEnd/>
                    <a:tailEnd/>
                  </a:ln>
                </pic:spPr>
              </pic:pic>
            </a:graphicData>
          </a:graphic>
        </wp:inline>
      </w:drawing>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551F" w:rsidRDefault="0078551F">
    <w:pPr>
      <w:pStyle w:val="Header"/>
    </w:pPr>
    <w:r>
      <w:t xml:space="preserve">     </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00"/>
  <w:displayHorizontalDrawingGridEvery w:val="2"/>
  <w:characterSpacingControl w:val="doNotCompress"/>
  <w:hdrShapeDefaults>
    <o:shapedefaults v:ext="edit" spidmax="5122"/>
    <o:shapelayout v:ext="edit">
      <o:idmap v:ext="edit" data="4"/>
    </o:shapelayout>
  </w:hdrShapeDefaults>
  <w:footnotePr>
    <w:footnote w:id="-1"/>
    <w:footnote w:id="0"/>
  </w:footnotePr>
  <w:endnotePr>
    <w:endnote w:id="-1"/>
    <w:endnote w:id="0"/>
  </w:endnotePr>
  <w:compat/>
  <w:rsids>
    <w:rsidRoot w:val="00454BB1"/>
    <w:rsid w:val="000167B1"/>
    <w:rsid w:val="00026014"/>
    <w:rsid w:val="000444A1"/>
    <w:rsid w:val="00077D41"/>
    <w:rsid w:val="000A346C"/>
    <w:rsid w:val="000A5CE8"/>
    <w:rsid w:val="000C27C2"/>
    <w:rsid w:val="000F6EDC"/>
    <w:rsid w:val="00104892"/>
    <w:rsid w:val="0012629B"/>
    <w:rsid w:val="0014110B"/>
    <w:rsid w:val="00184712"/>
    <w:rsid w:val="00185C3F"/>
    <w:rsid w:val="001E4052"/>
    <w:rsid w:val="001F21CF"/>
    <w:rsid w:val="00200408"/>
    <w:rsid w:val="002107D5"/>
    <w:rsid w:val="00280844"/>
    <w:rsid w:val="00302C58"/>
    <w:rsid w:val="00326955"/>
    <w:rsid w:val="00384BEE"/>
    <w:rsid w:val="003B0BDF"/>
    <w:rsid w:val="003C06A2"/>
    <w:rsid w:val="003C1263"/>
    <w:rsid w:val="003D0FEA"/>
    <w:rsid w:val="003D2C89"/>
    <w:rsid w:val="003E7C01"/>
    <w:rsid w:val="004246DB"/>
    <w:rsid w:val="00435A38"/>
    <w:rsid w:val="00451BA1"/>
    <w:rsid w:val="00454BB1"/>
    <w:rsid w:val="00475A98"/>
    <w:rsid w:val="00482F59"/>
    <w:rsid w:val="00560FC5"/>
    <w:rsid w:val="00570C0F"/>
    <w:rsid w:val="005A53F9"/>
    <w:rsid w:val="005D58B1"/>
    <w:rsid w:val="005E1A21"/>
    <w:rsid w:val="005F396D"/>
    <w:rsid w:val="0060351E"/>
    <w:rsid w:val="00621AF3"/>
    <w:rsid w:val="00662636"/>
    <w:rsid w:val="00680206"/>
    <w:rsid w:val="0069663D"/>
    <w:rsid w:val="006A1C35"/>
    <w:rsid w:val="006A6E68"/>
    <w:rsid w:val="006B37E3"/>
    <w:rsid w:val="006C21FF"/>
    <w:rsid w:val="006C3022"/>
    <w:rsid w:val="006E66FD"/>
    <w:rsid w:val="00756B58"/>
    <w:rsid w:val="007746EC"/>
    <w:rsid w:val="0078551F"/>
    <w:rsid w:val="007B66FB"/>
    <w:rsid w:val="008050DD"/>
    <w:rsid w:val="008118BF"/>
    <w:rsid w:val="00850327"/>
    <w:rsid w:val="00855F84"/>
    <w:rsid w:val="008A03D8"/>
    <w:rsid w:val="008C38FE"/>
    <w:rsid w:val="00910235"/>
    <w:rsid w:val="00913C47"/>
    <w:rsid w:val="00925C17"/>
    <w:rsid w:val="00946625"/>
    <w:rsid w:val="00950B0E"/>
    <w:rsid w:val="009D45DB"/>
    <w:rsid w:val="009F4B73"/>
    <w:rsid w:val="00A13C8D"/>
    <w:rsid w:val="00A31FFD"/>
    <w:rsid w:val="00A51F08"/>
    <w:rsid w:val="00A700CF"/>
    <w:rsid w:val="00B12C09"/>
    <w:rsid w:val="00B63885"/>
    <w:rsid w:val="00B72457"/>
    <w:rsid w:val="00BD3888"/>
    <w:rsid w:val="00C17D4A"/>
    <w:rsid w:val="00C20205"/>
    <w:rsid w:val="00C9312D"/>
    <w:rsid w:val="00C94F75"/>
    <w:rsid w:val="00CA46F5"/>
    <w:rsid w:val="00CC3DFA"/>
    <w:rsid w:val="00CC5AD1"/>
    <w:rsid w:val="00CD2455"/>
    <w:rsid w:val="00CD39B4"/>
    <w:rsid w:val="00CD7E4E"/>
    <w:rsid w:val="00D04DFB"/>
    <w:rsid w:val="00D05FA7"/>
    <w:rsid w:val="00D07179"/>
    <w:rsid w:val="00D177BD"/>
    <w:rsid w:val="00D43E5D"/>
    <w:rsid w:val="00DE7A30"/>
    <w:rsid w:val="00E03479"/>
    <w:rsid w:val="00E4336B"/>
    <w:rsid w:val="00E857F8"/>
    <w:rsid w:val="00E86952"/>
    <w:rsid w:val="00EB6C11"/>
    <w:rsid w:val="00EC2FEE"/>
    <w:rsid w:val="00EE7D1E"/>
    <w:rsid w:val="00EF73C6"/>
    <w:rsid w:val="00F3010F"/>
    <w:rsid w:val="00F31728"/>
    <w:rsid w:val="00F37AF9"/>
    <w:rsid w:val="00F37D2D"/>
    <w:rsid w:val="00F60399"/>
    <w:rsid w:val="00FB36A2"/>
    <w:rsid w:val="00FC15FD"/>
    <w:rsid w:val="00FF3673"/>
    <w:rsid w:val="00FF7CE4"/>
  </w:rsids>
  <m:mathPr>
    <m:mathFont m:val="Cambria Math"/>
    <m:brkBin m:val="before"/>
    <m:brkBinSub m:val="--"/>
    <m:smallFrac m:val="off"/>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Verdana" w:eastAsiaTheme="minorHAnsi" w:hAnsi="Verdana" w:cs="Arial"/>
        <w:color w:val="000000" w:themeColor="text1"/>
        <w:szCs w:val="21"/>
        <w:lang w:val="en-US" w:eastAsia="en-US"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21FF"/>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54BB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54BB1"/>
    <w:rPr>
      <w:rFonts w:ascii="Tahoma" w:hAnsi="Tahoma" w:cs="Tahoma"/>
      <w:sz w:val="16"/>
      <w:szCs w:val="16"/>
    </w:rPr>
  </w:style>
  <w:style w:type="paragraph" w:styleId="Header">
    <w:name w:val="header"/>
    <w:basedOn w:val="Normal"/>
    <w:link w:val="HeaderChar"/>
    <w:uiPriority w:val="99"/>
    <w:semiHidden/>
    <w:unhideWhenUsed/>
    <w:rsid w:val="005A53F9"/>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5A53F9"/>
  </w:style>
  <w:style w:type="paragraph" w:styleId="Footer">
    <w:name w:val="footer"/>
    <w:basedOn w:val="Normal"/>
    <w:link w:val="FooterChar"/>
    <w:uiPriority w:val="99"/>
    <w:semiHidden/>
    <w:unhideWhenUsed/>
    <w:rsid w:val="005A53F9"/>
    <w:pPr>
      <w:tabs>
        <w:tab w:val="center" w:pos="4680"/>
        <w:tab w:val="right" w:pos="9360"/>
      </w:tabs>
      <w:spacing w:line="240" w:lineRule="auto"/>
    </w:pPr>
  </w:style>
  <w:style w:type="character" w:customStyle="1" w:styleId="FooterChar">
    <w:name w:val="Footer Char"/>
    <w:basedOn w:val="DefaultParagraphFont"/>
    <w:link w:val="Footer"/>
    <w:uiPriority w:val="99"/>
    <w:semiHidden/>
    <w:rsid w:val="005A53F9"/>
  </w:style>
  <w:style w:type="paragraph" w:styleId="NormalWeb">
    <w:name w:val="Normal (Web)"/>
    <w:basedOn w:val="Normal"/>
    <w:uiPriority w:val="99"/>
    <w:semiHidden/>
    <w:unhideWhenUsed/>
    <w:rsid w:val="003D2C89"/>
    <w:pPr>
      <w:spacing w:before="100" w:beforeAutospacing="1" w:after="100" w:afterAutospacing="1" w:line="240" w:lineRule="auto"/>
      <w:jc w:val="left"/>
    </w:pPr>
    <w:rPr>
      <w:rFonts w:ascii="Times New Roman" w:eastAsia="Times New Roman" w:hAnsi="Times New Roman" w:cs="Times New Roman"/>
      <w:color w:val="auto"/>
      <w:sz w:val="24"/>
      <w:szCs w:val="24"/>
    </w:rPr>
  </w:style>
  <w:style w:type="character" w:styleId="Hyperlink">
    <w:name w:val="Hyperlink"/>
    <w:basedOn w:val="DefaultParagraphFont"/>
    <w:uiPriority w:val="99"/>
    <w:unhideWhenUsed/>
    <w:rsid w:val="00680206"/>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Verdana" w:eastAsiaTheme="minorHAnsi" w:hAnsi="Verdana" w:cs="Arial"/>
        <w:color w:val="000000" w:themeColor="text1"/>
        <w:szCs w:val="21"/>
        <w:lang w:val="en-US" w:eastAsia="en-US"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21FF"/>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54BB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54BB1"/>
    <w:rPr>
      <w:rFonts w:ascii="Tahoma" w:hAnsi="Tahoma" w:cs="Tahoma"/>
      <w:sz w:val="16"/>
      <w:szCs w:val="16"/>
    </w:rPr>
  </w:style>
  <w:style w:type="paragraph" w:styleId="Header">
    <w:name w:val="header"/>
    <w:basedOn w:val="Normal"/>
    <w:link w:val="HeaderChar"/>
    <w:uiPriority w:val="99"/>
    <w:semiHidden/>
    <w:unhideWhenUsed/>
    <w:rsid w:val="005A53F9"/>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5A53F9"/>
  </w:style>
  <w:style w:type="paragraph" w:styleId="Footer">
    <w:name w:val="footer"/>
    <w:basedOn w:val="Normal"/>
    <w:link w:val="FooterChar"/>
    <w:uiPriority w:val="99"/>
    <w:semiHidden/>
    <w:unhideWhenUsed/>
    <w:rsid w:val="005A53F9"/>
    <w:pPr>
      <w:tabs>
        <w:tab w:val="center" w:pos="4680"/>
        <w:tab w:val="right" w:pos="9360"/>
      </w:tabs>
      <w:spacing w:line="240" w:lineRule="auto"/>
    </w:pPr>
  </w:style>
  <w:style w:type="character" w:customStyle="1" w:styleId="FooterChar">
    <w:name w:val="Footer Char"/>
    <w:basedOn w:val="DefaultParagraphFont"/>
    <w:link w:val="Footer"/>
    <w:uiPriority w:val="99"/>
    <w:semiHidden/>
    <w:rsid w:val="005A53F9"/>
  </w:style>
  <w:style w:type="paragraph" w:styleId="NormalWeb">
    <w:name w:val="Normal (Web)"/>
    <w:basedOn w:val="Normal"/>
    <w:uiPriority w:val="99"/>
    <w:semiHidden/>
    <w:unhideWhenUsed/>
    <w:rsid w:val="003D2C89"/>
    <w:pPr>
      <w:spacing w:before="100" w:beforeAutospacing="1" w:after="100" w:afterAutospacing="1" w:line="240" w:lineRule="auto"/>
      <w:jc w:val="left"/>
    </w:pPr>
    <w:rPr>
      <w:rFonts w:ascii="Times New Roman" w:eastAsia="Times New Roman" w:hAnsi="Times New Roman" w:cs="Times New Roman"/>
      <w:color w:val="auto"/>
      <w:sz w:val="24"/>
      <w:szCs w:val="24"/>
    </w:rPr>
  </w:style>
  <w:style w:type="character" w:styleId="Hyperlink">
    <w:name w:val="Hyperlink"/>
    <w:basedOn w:val="DefaultParagraphFont"/>
    <w:uiPriority w:val="99"/>
    <w:unhideWhenUsed/>
    <w:rsid w:val="00680206"/>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181017941">
      <w:bodyDiv w:val="1"/>
      <w:marLeft w:val="0"/>
      <w:marRight w:val="0"/>
      <w:marTop w:val="0"/>
      <w:marBottom w:val="0"/>
      <w:divBdr>
        <w:top w:val="none" w:sz="0" w:space="0" w:color="auto"/>
        <w:left w:val="none" w:sz="0" w:space="0" w:color="auto"/>
        <w:bottom w:val="none" w:sz="0" w:space="0" w:color="auto"/>
        <w:right w:val="none" w:sz="0" w:space="0" w:color="auto"/>
      </w:divBdr>
    </w:div>
    <w:div w:id="264045401">
      <w:bodyDiv w:val="1"/>
      <w:marLeft w:val="0"/>
      <w:marRight w:val="0"/>
      <w:marTop w:val="0"/>
      <w:marBottom w:val="0"/>
      <w:divBdr>
        <w:top w:val="none" w:sz="0" w:space="0" w:color="auto"/>
        <w:left w:val="none" w:sz="0" w:space="0" w:color="auto"/>
        <w:bottom w:val="none" w:sz="0" w:space="0" w:color="auto"/>
        <w:right w:val="none" w:sz="0" w:space="0" w:color="auto"/>
      </w:divBdr>
    </w:div>
    <w:div w:id="383067818">
      <w:bodyDiv w:val="1"/>
      <w:marLeft w:val="0"/>
      <w:marRight w:val="0"/>
      <w:marTop w:val="0"/>
      <w:marBottom w:val="0"/>
      <w:divBdr>
        <w:top w:val="none" w:sz="0" w:space="0" w:color="auto"/>
        <w:left w:val="none" w:sz="0" w:space="0" w:color="auto"/>
        <w:bottom w:val="none" w:sz="0" w:space="0" w:color="auto"/>
        <w:right w:val="none" w:sz="0" w:space="0" w:color="auto"/>
      </w:divBdr>
    </w:div>
    <w:div w:id="504055218">
      <w:bodyDiv w:val="1"/>
      <w:marLeft w:val="0"/>
      <w:marRight w:val="0"/>
      <w:marTop w:val="0"/>
      <w:marBottom w:val="0"/>
      <w:divBdr>
        <w:top w:val="none" w:sz="0" w:space="0" w:color="auto"/>
        <w:left w:val="none" w:sz="0" w:space="0" w:color="auto"/>
        <w:bottom w:val="none" w:sz="0" w:space="0" w:color="auto"/>
        <w:right w:val="none" w:sz="0" w:space="0" w:color="auto"/>
      </w:divBdr>
    </w:div>
    <w:div w:id="547768699">
      <w:bodyDiv w:val="1"/>
      <w:marLeft w:val="0"/>
      <w:marRight w:val="0"/>
      <w:marTop w:val="0"/>
      <w:marBottom w:val="0"/>
      <w:divBdr>
        <w:top w:val="none" w:sz="0" w:space="0" w:color="auto"/>
        <w:left w:val="none" w:sz="0" w:space="0" w:color="auto"/>
        <w:bottom w:val="none" w:sz="0" w:space="0" w:color="auto"/>
        <w:right w:val="none" w:sz="0" w:space="0" w:color="auto"/>
      </w:divBdr>
    </w:div>
    <w:div w:id="932129424">
      <w:bodyDiv w:val="1"/>
      <w:marLeft w:val="0"/>
      <w:marRight w:val="0"/>
      <w:marTop w:val="0"/>
      <w:marBottom w:val="0"/>
      <w:divBdr>
        <w:top w:val="none" w:sz="0" w:space="0" w:color="auto"/>
        <w:left w:val="none" w:sz="0" w:space="0" w:color="auto"/>
        <w:bottom w:val="none" w:sz="0" w:space="0" w:color="auto"/>
        <w:right w:val="none" w:sz="0" w:space="0" w:color="auto"/>
      </w:divBdr>
      <w:divsChild>
        <w:div w:id="936140341">
          <w:marLeft w:val="0"/>
          <w:marRight w:val="0"/>
          <w:marTop w:val="0"/>
          <w:marBottom w:val="0"/>
          <w:divBdr>
            <w:top w:val="none" w:sz="0" w:space="0" w:color="auto"/>
            <w:left w:val="none" w:sz="0" w:space="0" w:color="auto"/>
            <w:bottom w:val="none" w:sz="0" w:space="0" w:color="auto"/>
            <w:right w:val="none" w:sz="0" w:space="0" w:color="auto"/>
          </w:divBdr>
          <w:divsChild>
            <w:div w:id="1558930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5235688">
      <w:bodyDiv w:val="1"/>
      <w:marLeft w:val="0"/>
      <w:marRight w:val="0"/>
      <w:marTop w:val="0"/>
      <w:marBottom w:val="0"/>
      <w:divBdr>
        <w:top w:val="none" w:sz="0" w:space="0" w:color="auto"/>
        <w:left w:val="none" w:sz="0" w:space="0" w:color="auto"/>
        <w:bottom w:val="none" w:sz="0" w:space="0" w:color="auto"/>
        <w:right w:val="none" w:sz="0" w:space="0" w:color="auto"/>
      </w:divBdr>
    </w:div>
    <w:div w:id="1891114163">
      <w:bodyDiv w:val="1"/>
      <w:marLeft w:val="0"/>
      <w:marRight w:val="0"/>
      <w:marTop w:val="0"/>
      <w:marBottom w:val="0"/>
      <w:divBdr>
        <w:top w:val="none" w:sz="0" w:space="0" w:color="auto"/>
        <w:left w:val="none" w:sz="0" w:space="0" w:color="auto"/>
        <w:bottom w:val="none" w:sz="0" w:space="0" w:color="auto"/>
        <w:right w:val="none" w:sz="0" w:space="0" w:color="auto"/>
      </w:divBdr>
    </w:div>
    <w:div w:id="2057241342">
      <w:bodyDiv w:val="1"/>
      <w:marLeft w:val="0"/>
      <w:marRight w:val="0"/>
      <w:marTop w:val="0"/>
      <w:marBottom w:val="0"/>
      <w:divBdr>
        <w:top w:val="none" w:sz="0" w:space="0" w:color="auto"/>
        <w:left w:val="none" w:sz="0" w:space="0" w:color="auto"/>
        <w:bottom w:val="none" w:sz="0" w:space="0" w:color="auto"/>
        <w:right w:val="none" w:sz="0" w:space="0" w:color="auto"/>
      </w:divBdr>
    </w:div>
    <w:div w:id="2134206870">
      <w:bodyDiv w:val="1"/>
      <w:marLeft w:val="0"/>
      <w:marRight w:val="0"/>
      <w:marTop w:val="0"/>
      <w:marBottom w:val="0"/>
      <w:divBdr>
        <w:top w:val="none" w:sz="0" w:space="0" w:color="auto"/>
        <w:left w:val="none" w:sz="0" w:space="0" w:color="auto"/>
        <w:bottom w:val="none" w:sz="0" w:space="0" w:color="auto"/>
        <w:right w:val="none" w:sz="0" w:space="0" w:color="auto"/>
      </w:divBdr>
      <w:divsChild>
        <w:div w:id="364063043">
          <w:marLeft w:val="0"/>
          <w:marRight w:val="0"/>
          <w:marTop w:val="0"/>
          <w:marBottom w:val="0"/>
          <w:divBdr>
            <w:top w:val="none" w:sz="0" w:space="0" w:color="auto"/>
            <w:left w:val="none" w:sz="0" w:space="0" w:color="auto"/>
            <w:bottom w:val="none" w:sz="0" w:space="0" w:color="auto"/>
            <w:right w:val="none" w:sz="0" w:space="0" w:color="auto"/>
          </w:divBdr>
          <w:divsChild>
            <w:div w:id="1360544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microsoft.com/office/2007/relationships/stylesWithEffects" Target="stylesWithEffects.xml"/><Relationship Id="rId10" Type="http://schemas.openxmlformats.org/officeDocument/2006/relationships/image" Target="media/image5.emf"/><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597A84-9FC4-4FBA-A78F-F56B53E318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797</Words>
  <Characters>4544</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Trade and Investment KZN</Company>
  <LinksUpToDate>false</LinksUpToDate>
  <CharactersWithSpaces>5331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FellengM</dc:creator>
  <cp:lastModifiedBy>user</cp:lastModifiedBy>
  <cp:revision>2</cp:revision>
  <dcterms:created xsi:type="dcterms:W3CDTF">2013-03-15T17:18:00Z</dcterms:created>
  <dcterms:modified xsi:type="dcterms:W3CDTF">2013-03-15T17:18:00Z</dcterms:modified>
</cp:coreProperties>
</file>