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C13014" w:rsidP="00454BB1">
      <w:pPr>
        <w:jc w:val="center"/>
        <w:rPr>
          <w:rFonts w:ascii="Arial" w:hAnsi="Arial"/>
          <w:b/>
        </w:rPr>
      </w:pPr>
      <w:r>
        <w:rPr>
          <w:rFonts w:ascii="Arial" w:hAnsi="Arial"/>
          <w:b/>
        </w:rPr>
        <w:t>August</w:t>
      </w:r>
      <w:r w:rsidR="00161F9C">
        <w:rPr>
          <w:rFonts w:ascii="Arial" w:hAnsi="Arial"/>
          <w:b/>
        </w:rPr>
        <w:t xml:space="preserve"> </w:t>
      </w:r>
      <w:r w:rsidR="007F7630">
        <w:rPr>
          <w:rFonts w:ascii="Arial" w:hAnsi="Arial"/>
          <w:b/>
        </w:rPr>
        <w:t>2013</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7F7630" w:rsidRDefault="00C13014" w:rsidP="007F7630">
      <w:pPr>
        <w:spacing w:before="100" w:beforeAutospacing="1" w:after="100" w:afterAutospacing="1"/>
        <w:rPr>
          <w:rFonts w:ascii="Arial" w:hAnsi="Arial"/>
          <w:b/>
          <w:bCs/>
          <w:sz w:val="32"/>
        </w:rPr>
      </w:pPr>
      <w:r w:rsidRPr="00C13014">
        <w:rPr>
          <w:rFonts w:ascii="Arial" w:hAnsi="Arial"/>
          <w:b/>
          <w:bCs/>
          <w:sz w:val="32"/>
        </w:rPr>
        <w:lastRenderedPageBreak/>
        <w:t>Big projects help boost fixed investment in KwaZulu-Natal</w:t>
      </w:r>
    </w:p>
    <w:p w:rsidR="00C13014" w:rsidRDefault="00C13014" w:rsidP="007F7630">
      <w:pPr>
        <w:spacing w:before="100" w:beforeAutospacing="1" w:after="100" w:afterAutospacing="1"/>
        <w:rPr>
          <w:rFonts w:ascii="Arial" w:hAnsi="Arial"/>
          <w:b/>
          <w:bCs/>
          <w:sz w:val="24"/>
          <w:lang w:val="en-GB"/>
        </w:rPr>
      </w:pPr>
      <w:r>
        <w:rPr>
          <w:noProof/>
          <w:lang w:val="en-ZA" w:eastAsia="en-ZA"/>
        </w:rPr>
        <w:drawing>
          <wp:inline distT="0" distB="0" distL="0" distR="0">
            <wp:extent cx="5943600" cy="3890010"/>
            <wp:effectExtent l="0" t="0" r="19050"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r w:rsidRPr="00C13014">
        <w:rPr>
          <w:rFonts w:ascii="Arial" w:eastAsia="Times New Roman" w:hAnsi="Arial"/>
          <w:color w:val="auto"/>
          <w:kern w:val="28"/>
          <w:szCs w:val="20"/>
          <w:lang w:val="en-GB" w:eastAsia="en-ZA"/>
        </w:rPr>
        <w:t>Fixed investment in KwaZulu-Natal had a surprisingly good month in August thanks to certain big projects in the transport and energy sectors which started to take shape; these projects require equipment. The latest KwaZulu-Natal total investment index, as compiled by Mike Sch</w:t>
      </w:r>
      <w:r w:rsidRPr="00C13014">
        <w:rPr>
          <w:rFonts w:ascii="Arial" w:eastAsia="Times New Roman" w:hAnsi="Arial"/>
          <w:color w:val="auto"/>
          <w:kern w:val="28"/>
          <w:szCs w:val="20"/>
          <w:lang w:val="en-GB" w:eastAsia="en-ZA"/>
        </w:rPr>
        <w:sym w:font="Times New Roman" w:char="F0FC"/>
      </w:r>
      <w:r w:rsidRPr="00C13014">
        <w:rPr>
          <w:rFonts w:ascii="Arial" w:eastAsia="Times New Roman" w:hAnsi="Arial"/>
          <w:color w:val="auto"/>
          <w:kern w:val="28"/>
          <w:szCs w:val="20"/>
          <w:lang w:val="en-GB" w:eastAsia="en-ZA"/>
        </w:rPr>
        <w:t>ssler of Economists.co.za, increased 6.3% year-on-year, the best growth in five months. Quarter-on-quarter the investment index was up 4.5%. Aside from some big projects which helped to boost the investment index, businesses were also starting to adjust to the weaker rand-dollar-exchange rate and started to invest in imports in certain sectors again. Despite the good news for overall investment in KwaZulu-Natal, the sectors which have been suffering for most of the year, like building and construction, are still struggling and growing at a marginal pace.</w:t>
      </w:r>
      <w:r w:rsidRPr="00C13014">
        <w:rPr>
          <w:rFonts w:ascii="Arial" w:eastAsia="Times New Roman" w:hAnsi="Arial"/>
          <w:color w:val="auto"/>
          <w:kern w:val="28"/>
          <w:szCs w:val="20"/>
          <w:lang w:val="en-GB" w:eastAsia="en-ZA"/>
        </w:rPr>
        <w:br/>
      </w:r>
      <w:r w:rsidRPr="00C13014">
        <w:rPr>
          <w:rFonts w:ascii="Arial" w:eastAsia="Times New Roman" w:hAnsi="Arial"/>
          <w:color w:val="auto"/>
          <w:kern w:val="28"/>
          <w:szCs w:val="20"/>
          <w:lang w:val="en-GB" w:eastAsia="en-ZA"/>
        </w:rPr>
        <w:br/>
      </w:r>
      <w:r w:rsidRPr="00C13014">
        <w:rPr>
          <w:rFonts w:ascii="Arial" w:eastAsia="Times New Roman" w:hAnsi="Arial"/>
          <w:b/>
          <w:color w:val="auto"/>
          <w:kern w:val="28"/>
          <w:szCs w:val="20"/>
          <w:lang w:val="en-GB" w:eastAsia="en-ZA"/>
        </w:rPr>
        <w:t>Transport equipment investment surprises</w:t>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r w:rsidRPr="00C13014">
        <w:rPr>
          <w:rFonts w:ascii="Arial" w:eastAsia="Times New Roman" w:hAnsi="Arial"/>
          <w:color w:val="auto"/>
          <w:kern w:val="28"/>
          <w:szCs w:val="20"/>
          <w:lang w:val="en-GB" w:eastAsia="en-ZA"/>
        </w:rPr>
        <w:t>Investment in transport equipment was one of the big drivers behind the improved growth in total fixed investment in KwaZulu-Natal. After some recent months of decline the transport index grew 7.</w:t>
      </w:r>
      <w:r w:rsidRPr="00C13014">
        <w:rPr>
          <w:rFonts w:ascii="Arial" w:eastAsia="Times New Roman" w:hAnsi="Arial"/>
          <w:color w:val="auto"/>
          <w:kern w:val="28"/>
          <w:szCs w:val="20"/>
          <w:lang w:eastAsia="en-ZA"/>
        </w:rPr>
        <w:t>2</w:t>
      </w:r>
      <w:r w:rsidRPr="00C13014">
        <w:rPr>
          <w:rFonts w:ascii="Arial" w:eastAsia="Times New Roman" w:hAnsi="Arial"/>
          <w:color w:val="auto"/>
          <w:kern w:val="28"/>
          <w:szCs w:val="20"/>
          <w:lang w:val="en-GB" w:eastAsia="en-ZA"/>
        </w:rPr>
        <w:t>% year-on-year, the best growth in nine months, and was up 6.9% quarter-on-quarter.</w:t>
      </w:r>
      <w:r w:rsidRPr="00C13014">
        <w:rPr>
          <w:rFonts w:ascii="Arial" w:eastAsia="Times New Roman" w:hAnsi="Arial"/>
          <w:color w:val="auto"/>
          <w:kern w:val="28"/>
          <w:szCs w:val="20"/>
          <w:lang w:val="en-GB" w:eastAsia="en-ZA"/>
        </w:rPr>
        <w:br/>
        <w:t>Investment in land transport equipment grew 10.9% after not growing in double-digits for four months.  Some projects, like energy and mining, in KwaZulu-Natal are making use of heavy trucks and machinery as investment in extra-heavy vehicles grew almost 20% from a year ago. However, while businesses and investors in big projects seem to be doing well, the same cannot be said for smaller businesses, judging from their vehicle purchases. Investment in light commercial vehicles fell 12% from a year ago, which shows small businesses are not doing that well and are still feeling the pressure in the economy, whilst big businesses are investing.</w:t>
      </w:r>
      <w:r w:rsidRPr="00C13014">
        <w:rPr>
          <w:rFonts w:ascii="Arial" w:eastAsia="Times New Roman" w:hAnsi="Arial"/>
          <w:color w:val="auto"/>
          <w:kern w:val="28"/>
          <w:szCs w:val="20"/>
          <w:lang w:val="en-GB" w:eastAsia="en-ZA"/>
        </w:rPr>
        <w:br/>
        <w:t xml:space="preserve">Investment in air and sea transport equipment was down only 2.5%, which was a welcome improvement after five months of double-digit decreases. </w:t>
      </w:r>
      <w:r w:rsidRPr="00C13014">
        <w:rPr>
          <w:rFonts w:ascii="Arial" w:eastAsia="Times New Roman" w:hAnsi="Arial"/>
          <w:color w:val="auto"/>
          <w:kern w:val="28"/>
          <w:szCs w:val="20"/>
          <w:lang w:val="en-GB" w:eastAsia="en-ZA"/>
        </w:rPr>
        <w:br/>
      </w:r>
      <w:r w:rsidRPr="00C13014">
        <w:rPr>
          <w:rFonts w:ascii="Arial" w:eastAsia="Times New Roman" w:hAnsi="Arial"/>
          <w:color w:val="auto"/>
          <w:kern w:val="28"/>
          <w:szCs w:val="20"/>
          <w:lang w:val="en-GB" w:eastAsia="en-ZA"/>
        </w:rPr>
        <w:br/>
      </w:r>
      <w:r w:rsidRPr="00C13014">
        <w:rPr>
          <w:rFonts w:ascii="Arial" w:eastAsia="Times New Roman" w:hAnsi="Arial"/>
          <w:b/>
          <w:color w:val="auto"/>
          <w:kern w:val="28"/>
          <w:szCs w:val="20"/>
          <w:lang w:val="en-GB" w:eastAsia="en-ZA"/>
        </w:rPr>
        <w:t>Double-digit growth for machinery investment</w:t>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C13014">
        <w:rPr>
          <w:rFonts w:ascii="Arial" w:eastAsia="Times New Roman" w:hAnsi="Arial"/>
          <w:color w:val="auto"/>
          <w:kern w:val="28"/>
          <w:szCs w:val="20"/>
          <w:lang w:val="en-GB" w:eastAsia="en-ZA"/>
        </w:rPr>
        <w:lastRenderedPageBreak/>
        <w:t>Machinery investment in KwaZulu-Natal was another driver of total fixed investment and was up 10.5% year-on-year, the first double-digit increase in 10 months. This was also thanks to various big projects, which use all types of machinery. Quarter-on-quarter investment in machinery grew 8.2%. The biggest increase in the machinery sector came from investment in local machinery, which grew 16.6%. While it is positive that businesses are supporting the local industry, imports are still at the order of the day, growing by 9%.</w:t>
      </w:r>
      <w:r w:rsidRPr="00C13014">
        <w:rPr>
          <w:rFonts w:ascii="Arial" w:eastAsia="Times New Roman" w:hAnsi="Arial"/>
          <w:color w:val="auto"/>
          <w:kern w:val="28"/>
          <w:szCs w:val="20"/>
          <w:lang w:val="en-GB" w:eastAsia="en-ZA"/>
        </w:rPr>
        <w:br/>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r w:rsidRPr="00C13014">
        <w:rPr>
          <w:rFonts w:ascii="Arial" w:eastAsia="Times New Roman" w:hAnsi="Arial"/>
          <w:b/>
          <w:color w:val="auto"/>
          <w:kern w:val="28"/>
          <w:szCs w:val="20"/>
          <w:lang w:val="en-GB" w:eastAsia="en-ZA"/>
        </w:rPr>
        <w:t>Buildings investment on downward slope</w:t>
      </w:r>
      <w:r w:rsidRPr="00C13014">
        <w:rPr>
          <w:rFonts w:ascii="Arial" w:eastAsia="Times New Roman" w:hAnsi="Arial"/>
          <w:b/>
          <w:color w:val="auto"/>
          <w:kern w:val="28"/>
          <w:szCs w:val="20"/>
          <w:lang w:val="en-GB" w:eastAsia="en-ZA"/>
        </w:rPr>
        <w:br/>
      </w:r>
      <w:r w:rsidRPr="00C13014">
        <w:rPr>
          <w:rFonts w:ascii="Arial" w:eastAsia="Times New Roman" w:hAnsi="Arial"/>
          <w:color w:val="auto"/>
          <w:kern w:val="28"/>
          <w:szCs w:val="20"/>
          <w:lang w:val="en-GB" w:eastAsia="en-ZA"/>
        </w:rPr>
        <w:t>Investment in buildings is one of the categories which have been struggling for months and still is struggling. While the buildings index grew 3.3% year-on-year after two months of decline, the index was down 8.4% quarter-on-quarter, the fifth consecutive month of decline. The reasons behind the increase in the buildings index were the 20% increase in RDP houses completed and an unexpected 4.5% increase in lumber sales, the first increase for this year. While lumber sales are mostly an indication of informal building activity, the increase is a good sign for the building sector, boosting the index.</w:t>
      </w:r>
      <w:r w:rsidRPr="00C13014">
        <w:rPr>
          <w:rFonts w:ascii="Arial" w:eastAsia="Times New Roman" w:hAnsi="Arial"/>
          <w:color w:val="auto"/>
          <w:kern w:val="28"/>
          <w:szCs w:val="20"/>
          <w:lang w:val="en-GB" w:eastAsia="en-ZA"/>
        </w:rPr>
        <w:br/>
      </w:r>
      <w:r w:rsidRPr="00C13014">
        <w:rPr>
          <w:rFonts w:ascii="Arial" w:eastAsia="Times New Roman" w:hAnsi="Arial"/>
          <w:color w:val="auto"/>
          <w:kern w:val="28"/>
          <w:szCs w:val="20"/>
          <w:lang w:val="en-GB" w:eastAsia="en-ZA"/>
        </w:rPr>
        <w:br/>
      </w:r>
      <w:r w:rsidRPr="00C13014">
        <w:rPr>
          <w:rFonts w:ascii="Arial" w:eastAsia="Times New Roman" w:hAnsi="Arial"/>
          <w:b/>
          <w:color w:val="auto"/>
          <w:kern w:val="28"/>
          <w:szCs w:val="20"/>
          <w:lang w:val="en-GB" w:eastAsia="en-ZA"/>
        </w:rPr>
        <w:t>Civil construction investment shows slight growth</w:t>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C13014">
        <w:rPr>
          <w:rFonts w:ascii="Arial" w:eastAsia="Times New Roman" w:hAnsi="Arial"/>
          <w:color w:val="auto"/>
          <w:kern w:val="28"/>
          <w:szCs w:val="20"/>
          <w:lang w:val="en-GB" w:eastAsia="en-ZA"/>
        </w:rPr>
        <w:t>Civil construction investment in KwaZulu-Natal improved marginally to grow 1.1% year-on-year after two months of decline. Quarter-on-quarter the index was up 0.8%. The year-on-year increase was mostly due to a 17.7% increase in imported civil construction materials. Investment and structural steel and road works declined. The strain on the civil construction sector of having to import great quantities of material is limiting growth in the sector and it will take a while to get back to the double-digit growth of a few months ago. However, some of the bigger transport and energy projects in the province fall in the scope of civil construction and progress with these projects will support civil construction going forward.</w:t>
      </w:r>
      <w:r w:rsidRPr="00C13014">
        <w:rPr>
          <w:rFonts w:ascii="Arial" w:eastAsia="Times New Roman" w:hAnsi="Arial"/>
          <w:color w:val="auto"/>
          <w:kern w:val="28"/>
          <w:szCs w:val="20"/>
          <w:lang w:val="en-GB" w:eastAsia="en-ZA"/>
        </w:rPr>
        <w:br/>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r w:rsidRPr="00C13014">
        <w:rPr>
          <w:rFonts w:ascii="Arial" w:eastAsia="Times New Roman" w:hAnsi="Arial"/>
          <w:b/>
          <w:color w:val="auto"/>
          <w:kern w:val="28"/>
          <w:szCs w:val="20"/>
          <w:lang w:val="en-GB" w:eastAsia="en-ZA"/>
        </w:rPr>
        <w:t>Major decline in transfers’ investment</w:t>
      </w:r>
      <w:r w:rsidRPr="00C13014">
        <w:rPr>
          <w:rFonts w:ascii="Arial" w:eastAsia="Times New Roman" w:hAnsi="Arial"/>
          <w:b/>
          <w:color w:val="auto"/>
          <w:kern w:val="28"/>
          <w:szCs w:val="20"/>
          <w:lang w:val="en-GB" w:eastAsia="en-ZA"/>
        </w:rPr>
        <w:br/>
      </w:r>
      <w:r w:rsidRPr="00C13014">
        <w:rPr>
          <w:rFonts w:ascii="Arial" w:eastAsia="Times New Roman" w:hAnsi="Arial"/>
          <w:color w:val="auto"/>
          <w:kern w:val="28"/>
          <w:szCs w:val="20"/>
          <w:lang w:val="en-GB" w:eastAsia="en-ZA"/>
        </w:rPr>
        <w:t>Investm</w:t>
      </w:r>
      <w:bookmarkStart w:id="0" w:name="_GoBack"/>
      <w:bookmarkEnd w:id="0"/>
      <w:r w:rsidRPr="00C13014">
        <w:rPr>
          <w:rFonts w:ascii="Arial" w:eastAsia="Times New Roman" w:hAnsi="Arial"/>
          <w:color w:val="auto"/>
          <w:kern w:val="28"/>
          <w:szCs w:val="20"/>
          <w:lang w:val="en-GB" w:eastAsia="en-ZA"/>
        </w:rPr>
        <w:t>ent in transfers did not directly follow the small improvement in buildings and fell 27.6%, the biggest year-on-year drop in almost four year</w:t>
      </w:r>
      <w:r w:rsidRPr="00C13014">
        <w:rPr>
          <w:rFonts w:ascii="Arial" w:eastAsia="Times New Roman" w:hAnsi="Arial"/>
          <w:color w:val="auto"/>
          <w:kern w:val="28"/>
          <w:szCs w:val="20"/>
          <w:lang w:eastAsia="en-ZA"/>
        </w:rPr>
        <w:t>4</w:t>
      </w:r>
      <w:r w:rsidRPr="00C13014">
        <w:rPr>
          <w:rFonts w:ascii="Arial" w:eastAsia="Times New Roman" w:hAnsi="Arial"/>
          <w:color w:val="auto"/>
          <w:kern w:val="28"/>
          <w:szCs w:val="20"/>
          <w:lang w:val="en-GB" w:eastAsia="en-ZA"/>
        </w:rPr>
        <w:t>. Quarter-on-quarter investment in transfers was down 21.5%. The declines show that despite the completion of some buildings, the property market is still struggling in KwaZulu-Natal.</w:t>
      </w:r>
      <w:r w:rsidRPr="00C13014">
        <w:rPr>
          <w:rFonts w:ascii="Arial" w:eastAsia="Times New Roman" w:hAnsi="Arial"/>
          <w:color w:val="auto"/>
          <w:kern w:val="28"/>
          <w:szCs w:val="20"/>
          <w:lang w:val="en-GB" w:eastAsia="en-ZA"/>
        </w:rPr>
        <w:br/>
      </w:r>
      <w:r w:rsidRPr="00C13014">
        <w:rPr>
          <w:rFonts w:ascii="Arial" w:eastAsia="Times New Roman" w:hAnsi="Arial"/>
          <w:color w:val="auto"/>
          <w:kern w:val="28"/>
          <w:szCs w:val="20"/>
          <w:lang w:val="en-GB" w:eastAsia="en-ZA"/>
        </w:rPr>
        <w:br/>
      </w:r>
      <w:r w:rsidRPr="00C13014">
        <w:rPr>
          <w:rFonts w:ascii="Arial" w:eastAsia="Times New Roman" w:hAnsi="Arial"/>
          <w:b/>
          <w:color w:val="auto"/>
          <w:kern w:val="28"/>
          <w:szCs w:val="20"/>
          <w:lang w:val="en-GB" w:eastAsia="en-ZA"/>
        </w:rPr>
        <w:t>ICT equipment</w:t>
      </w:r>
    </w:p>
    <w:p w:rsidR="00C13014" w:rsidRPr="00C13014" w:rsidRDefault="00C13014" w:rsidP="00C13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C13014">
        <w:rPr>
          <w:rFonts w:ascii="Arial" w:eastAsia="Times New Roman" w:hAnsi="Arial"/>
          <w:color w:val="auto"/>
          <w:kern w:val="28"/>
          <w:szCs w:val="20"/>
          <w:lang w:val="en-GB" w:eastAsia="en-ZA"/>
        </w:rPr>
        <w:t>Investment in ICT equipment was the star of the KwaZulu-Natal investment monitor at one stage, but has been negative year-on-year for two months now, most recently declining by 1.3%. This comes as a lot of smaller businesses are not doing that well anymore and as a result are not investing in new computer equipment. This means there is a bit of a slowdown in businesses selling or buying the ICT equipment. The smaller businesses struggle due to the state of the wider economy and also the weak rand. However, part of the bad ICT equipment figure is due to the base effects created by last year’s phenomenal double-digit growth.</w:t>
      </w:r>
    </w:p>
    <w:p w:rsidR="00C13014" w:rsidRPr="003E5E94" w:rsidRDefault="00C13014" w:rsidP="00C13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3E5E94" w:rsidRPr="003E5E94" w:rsidRDefault="003E5E94" w:rsidP="003E5E9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3E5E94">
        <w:rPr>
          <w:rFonts w:ascii="Arial" w:eastAsia="Times New Roman" w:hAnsi="Arial"/>
          <w:color w:val="auto"/>
          <w:kern w:val="28"/>
          <w:szCs w:val="20"/>
          <w:lang w:val="en-GB" w:eastAsia="en-ZA"/>
        </w:rPr>
        <w:br/>
      </w:r>
      <w:r w:rsidRPr="003E5E94">
        <w:rPr>
          <w:rFonts w:ascii="Arial" w:eastAsia="Times New Roman" w:hAnsi="Arial"/>
          <w:color w:val="auto"/>
          <w:kern w:val="28"/>
          <w:szCs w:val="20"/>
          <w:lang w:val="en-GB" w:eastAsia="en-ZA"/>
        </w:rPr>
        <w:br/>
      </w:r>
    </w:p>
    <w:p w:rsidR="007F7630" w:rsidRDefault="007F7630" w:rsidP="007F7630">
      <w:pPr>
        <w:spacing w:before="100" w:beforeAutospacing="1" w:after="100" w:afterAutospacing="1" w:line="240" w:lineRule="auto"/>
        <w:rPr>
          <w:rFonts w:ascii="Arial" w:hAnsi="Arial"/>
          <w:b/>
          <w:bCs/>
          <w:lang w:val="en-GB"/>
        </w:rPr>
      </w:pPr>
      <w:r w:rsidRPr="007F7630">
        <w:rPr>
          <w:rFonts w:ascii="Arial" w:hAnsi="Arial"/>
          <w:b/>
          <w:bCs/>
          <w:lang w:val="en-GB"/>
        </w:rPr>
        <w:t>Results Table</w:t>
      </w:r>
      <w:r>
        <w:rPr>
          <w:rFonts w:ascii="Arial" w:hAnsi="Arial"/>
          <w:b/>
          <w:bCs/>
          <w:lang w:val="en-GB"/>
        </w:rPr>
        <w:t>:</w:t>
      </w:r>
      <w:r w:rsidR="005320CC">
        <w:rPr>
          <w:rFonts w:ascii="Arial" w:hAnsi="Arial"/>
          <w:b/>
          <w:bCs/>
          <w:lang w:val="en-GB"/>
        </w:rPr>
        <w:t xml:space="preserve"> </w:t>
      </w:r>
      <w:r w:rsidR="00C13014">
        <w:rPr>
          <w:rFonts w:ascii="Arial" w:hAnsi="Arial"/>
          <w:b/>
          <w:bCs/>
          <w:lang w:val="en-GB"/>
        </w:rPr>
        <w:t>August</w:t>
      </w:r>
      <w:r w:rsidR="005320CC">
        <w:rPr>
          <w:rFonts w:ascii="Arial" w:hAnsi="Arial"/>
          <w:b/>
          <w:bCs/>
          <w:lang w:val="en-GB"/>
        </w:rPr>
        <w:t xml:space="preserve"> 2013</w:t>
      </w:r>
    </w:p>
    <w:tbl>
      <w:tblPr>
        <w:tblW w:w="8320" w:type="dxa"/>
        <w:tblInd w:w="93" w:type="dxa"/>
        <w:tblLook w:val="04A0"/>
      </w:tblPr>
      <w:tblGrid>
        <w:gridCol w:w="3740"/>
        <w:gridCol w:w="2480"/>
        <w:gridCol w:w="2100"/>
      </w:tblGrid>
      <w:tr w:rsidR="00C13014" w:rsidRPr="00C13014" w:rsidTr="00C13014">
        <w:trPr>
          <w:trHeight w:val="1215"/>
        </w:trPr>
        <w:tc>
          <w:tcPr>
            <w:tcW w:w="3740" w:type="dxa"/>
            <w:tcBorders>
              <w:top w:val="single" w:sz="8" w:space="0" w:color="auto"/>
              <w:left w:val="single" w:sz="8" w:space="0" w:color="auto"/>
              <w:bottom w:val="nil"/>
              <w:right w:val="single" w:sz="8" w:space="0" w:color="auto"/>
            </w:tcBorders>
            <w:shd w:val="clear" w:color="9BBB59" w:fill="9BBB59"/>
            <w:vAlign w:val="bottom"/>
            <w:hideMark/>
          </w:tcPr>
          <w:p w:rsidR="00C13014" w:rsidRPr="00C13014" w:rsidRDefault="00C13014" w:rsidP="00C13014">
            <w:pPr>
              <w:spacing w:line="240" w:lineRule="auto"/>
              <w:jc w:val="center"/>
              <w:rPr>
                <w:rFonts w:ascii="Arial" w:eastAsia="Times New Roman" w:hAnsi="Arial"/>
                <w:b/>
                <w:bCs/>
                <w:color w:val="auto"/>
                <w:sz w:val="24"/>
                <w:szCs w:val="24"/>
                <w:lang w:val="en-ZA" w:eastAsia="en-ZA"/>
              </w:rPr>
            </w:pPr>
            <w:r w:rsidRPr="00C13014">
              <w:rPr>
                <w:rFonts w:ascii="Arial" w:eastAsia="Times New Roman" w:hAnsi="Arial"/>
                <w:b/>
                <w:bCs/>
                <w:color w:val="auto"/>
                <w:sz w:val="24"/>
                <w:szCs w:val="24"/>
                <w:lang w:val="en-ZA" w:eastAsia="en-ZA"/>
              </w:rPr>
              <w:t>Main and sub-indices of the Kwa-Zulu Investment Monitor</w:t>
            </w:r>
          </w:p>
        </w:tc>
        <w:tc>
          <w:tcPr>
            <w:tcW w:w="2480" w:type="dxa"/>
            <w:tcBorders>
              <w:top w:val="single" w:sz="8" w:space="0" w:color="auto"/>
              <w:left w:val="single" w:sz="8" w:space="0" w:color="auto"/>
              <w:bottom w:val="nil"/>
              <w:right w:val="single" w:sz="8" w:space="0" w:color="auto"/>
            </w:tcBorders>
            <w:shd w:val="clear" w:color="9BBB59" w:fill="9BBB59"/>
            <w:vAlign w:val="bottom"/>
            <w:hideMark/>
          </w:tcPr>
          <w:p w:rsidR="00C13014" w:rsidRPr="00C13014" w:rsidRDefault="00C13014" w:rsidP="00C13014">
            <w:pPr>
              <w:spacing w:line="240" w:lineRule="auto"/>
              <w:jc w:val="center"/>
              <w:rPr>
                <w:rFonts w:ascii="Arial" w:eastAsia="Times New Roman" w:hAnsi="Arial"/>
                <w:b/>
                <w:bCs/>
                <w:color w:val="auto"/>
                <w:sz w:val="24"/>
                <w:szCs w:val="24"/>
                <w:lang w:val="en-ZA" w:eastAsia="en-ZA"/>
              </w:rPr>
            </w:pPr>
            <w:r w:rsidRPr="00C13014">
              <w:rPr>
                <w:rFonts w:ascii="Arial" w:eastAsia="Times New Roman" w:hAnsi="Arial"/>
                <w:b/>
                <w:bCs/>
                <w:color w:val="auto"/>
                <w:sz w:val="24"/>
                <w:szCs w:val="24"/>
                <w:lang w:val="en-ZA" w:eastAsia="en-ZA"/>
              </w:rPr>
              <w:t>% Change on a year ago</w:t>
            </w:r>
          </w:p>
        </w:tc>
        <w:tc>
          <w:tcPr>
            <w:tcW w:w="2100" w:type="dxa"/>
            <w:tcBorders>
              <w:top w:val="single" w:sz="8" w:space="0" w:color="auto"/>
              <w:left w:val="single" w:sz="8" w:space="0" w:color="auto"/>
              <w:bottom w:val="nil"/>
              <w:right w:val="single" w:sz="8" w:space="0" w:color="auto"/>
            </w:tcBorders>
            <w:shd w:val="clear" w:color="9BBB59" w:fill="9BBB59"/>
            <w:vAlign w:val="bottom"/>
            <w:hideMark/>
          </w:tcPr>
          <w:p w:rsidR="00C13014" w:rsidRPr="00C13014" w:rsidRDefault="00C13014" w:rsidP="00C13014">
            <w:pPr>
              <w:spacing w:line="240" w:lineRule="auto"/>
              <w:jc w:val="center"/>
              <w:rPr>
                <w:rFonts w:ascii="Arial" w:eastAsia="Times New Roman" w:hAnsi="Arial"/>
                <w:b/>
                <w:bCs/>
                <w:color w:val="auto"/>
                <w:sz w:val="24"/>
                <w:szCs w:val="24"/>
                <w:lang w:val="en-ZA" w:eastAsia="en-ZA"/>
              </w:rPr>
            </w:pPr>
            <w:r w:rsidRPr="00C13014">
              <w:rPr>
                <w:rFonts w:ascii="Arial" w:eastAsia="Times New Roman" w:hAnsi="Arial"/>
                <w:b/>
                <w:bCs/>
                <w:color w:val="auto"/>
                <w:sz w:val="24"/>
                <w:szCs w:val="24"/>
                <w:lang w:val="en-ZA" w:eastAsia="en-ZA"/>
              </w:rPr>
              <w:t>% Change from a  quarter ago</w:t>
            </w:r>
          </w:p>
        </w:tc>
      </w:tr>
      <w:tr w:rsidR="00C13014" w:rsidRPr="00C13014" w:rsidTr="00C13014">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Transport Equipment</w:t>
            </w:r>
          </w:p>
        </w:tc>
        <w:tc>
          <w:tcPr>
            <w:tcW w:w="2480" w:type="dxa"/>
            <w:tcBorders>
              <w:top w:val="single" w:sz="4" w:space="0" w:color="9BBB59"/>
              <w:left w:val="nil"/>
              <w:bottom w:val="nil"/>
              <w:right w:val="nil"/>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7.2%</w:t>
            </w:r>
          </w:p>
        </w:tc>
        <w:tc>
          <w:tcPr>
            <w:tcW w:w="2100" w:type="dxa"/>
            <w:tcBorders>
              <w:top w:val="single" w:sz="4" w:space="0" w:color="9BBB59"/>
              <w:left w:val="nil"/>
              <w:bottom w:val="nil"/>
              <w:right w:val="single" w:sz="4" w:space="0" w:color="9BBB59"/>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6.9%</w:t>
            </w:r>
          </w:p>
        </w:tc>
      </w:tr>
      <w:tr w:rsidR="00C13014" w:rsidRPr="00C13014" w:rsidTr="00C13014">
        <w:trPr>
          <w:trHeight w:val="300"/>
        </w:trPr>
        <w:tc>
          <w:tcPr>
            <w:tcW w:w="3740" w:type="dxa"/>
            <w:tcBorders>
              <w:top w:val="single" w:sz="4" w:space="0" w:color="9BBB59"/>
              <w:left w:val="single" w:sz="4" w:space="0" w:color="9BBB59"/>
              <w:bottom w:val="nil"/>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Buildings</w:t>
            </w:r>
          </w:p>
        </w:tc>
        <w:tc>
          <w:tcPr>
            <w:tcW w:w="2480" w:type="dxa"/>
            <w:tcBorders>
              <w:top w:val="single" w:sz="4" w:space="0" w:color="9BBB59"/>
              <w:left w:val="nil"/>
              <w:bottom w:val="nil"/>
              <w:right w:val="nil"/>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3.3%</w:t>
            </w:r>
          </w:p>
        </w:tc>
        <w:tc>
          <w:tcPr>
            <w:tcW w:w="2100" w:type="dxa"/>
            <w:tcBorders>
              <w:top w:val="single" w:sz="4" w:space="0" w:color="9BBB59"/>
              <w:left w:val="nil"/>
              <w:bottom w:val="nil"/>
              <w:right w:val="single" w:sz="4" w:space="0" w:color="9BBB59"/>
            </w:tcBorders>
            <w:shd w:val="clear" w:color="000000" w:fill="FF000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-8.4%</w:t>
            </w:r>
          </w:p>
        </w:tc>
      </w:tr>
      <w:tr w:rsidR="00C13014" w:rsidRPr="00C13014" w:rsidTr="00C13014">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Civil Construction</w:t>
            </w:r>
          </w:p>
        </w:tc>
        <w:tc>
          <w:tcPr>
            <w:tcW w:w="2480" w:type="dxa"/>
            <w:tcBorders>
              <w:top w:val="single" w:sz="4" w:space="0" w:color="9BBB59"/>
              <w:left w:val="nil"/>
              <w:bottom w:val="nil"/>
              <w:right w:val="nil"/>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1.1%</w:t>
            </w:r>
          </w:p>
        </w:tc>
        <w:tc>
          <w:tcPr>
            <w:tcW w:w="2100" w:type="dxa"/>
            <w:tcBorders>
              <w:top w:val="single" w:sz="4" w:space="0" w:color="9BBB59"/>
              <w:left w:val="nil"/>
              <w:bottom w:val="nil"/>
              <w:right w:val="single" w:sz="4" w:space="0" w:color="9BBB59"/>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0.8%</w:t>
            </w:r>
          </w:p>
        </w:tc>
      </w:tr>
      <w:tr w:rsidR="00C13014" w:rsidRPr="00C13014" w:rsidTr="00C13014">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Machinery</w:t>
            </w:r>
          </w:p>
        </w:tc>
        <w:tc>
          <w:tcPr>
            <w:tcW w:w="2480" w:type="dxa"/>
            <w:tcBorders>
              <w:top w:val="single" w:sz="4" w:space="0" w:color="9BBB59"/>
              <w:left w:val="nil"/>
              <w:bottom w:val="nil"/>
              <w:right w:val="nil"/>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10.5%</w:t>
            </w:r>
          </w:p>
        </w:tc>
        <w:tc>
          <w:tcPr>
            <w:tcW w:w="2100" w:type="dxa"/>
            <w:tcBorders>
              <w:top w:val="single" w:sz="4" w:space="0" w:color="9BBB59"/>
              <w:left w:val="nil"/>
              <w:bottom w:val="nil"/>
              <w:right w:val="single" w:sz="4" w:space="0" w:color="9BBB59"/>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8.2%</w:t>
            </w:r>
          </w:p>
        </w:tc>
      </w:tr>
      <w:tr w:rsidR="00C13014" w:rsidRPr="00C13014" w:rsidTr="00C13014">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ICT Equipment</w:t>
            </w:r>
          </w:p>
        </w:tc>
        <w:tc>
          <w:tcPr>
            <w:tcW w:w="2480" w:type="dxa"/>
            <w:tcBorders>
              <w:top w:val="single" w:sz="4" w:space="0" w:color="9BBB59"/>
              <w:left w:val="nil"/>
              <w:bottom w:val="nil"/>
              <w:right w:val="nil"/>
            </w:tcBorders>
            <w:shd w:val="clear" w:color="000000" w:fill="FF000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-1.3%</w:t>
            </w:r>
          </w:p>
        </w:tc>
        <w:tc>
          <w:tcPr>
            <w:tcW w:w="2100" w:type="dxa"/>
            <w:tcBorders>
              <w:top w:val="single" w:sz="4" w:space="0" w:color="9BBB59"/>
              <w:left w:val="nil"/>
              <w:bottom w:val="nil"/>
              <w:right w:val="single" w:sz="4" w:space="0" w:color="9BBB59"/>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0.8%</w:t>
            </w:r>
          </w:p>
        </w:tc>
      </w:tr>
      <w:tr w:rsidR="00C13014" w:rsidRPr="00C13014" w:rsidTr="00C13014">
        <w:trPr>
          <w:trHeight w:val="288"/>
        </w:trPr>
        <w:tc>
          <w:tcPr>
            <w:tcW w:w="3740" w:type="dxa"/>
            <w:tcBorders>
              <w:top w:val="single" w:sz="4" w:space="0" w:color="9BBB59"/>
              <w:left w:val="single" w:sz="4" w:space="0" w:color="9BBB59"/>
              <w:bottom w:val="nil"/>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Transfers</w:t>
            </w:r>
          </w:p>
        </w:tc>
        <w:tc>
          <w:tcPr>
            <w:tcW w:w="2480" w:type="dxa"/>
            <w:tcBorders>
              <w:top w:val="single" w:sz="4" w:space="0" w:color="9BBB59"/>
              <w:left w:val="nil"/>
              <w:bottom w:val="nil"/>
              <w:right w:val="nil"/>
            </w:tcBorders>
            <w:shd w:val="clear" w:color="000000" w:fill="FF000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-27.6%</w:t>
            </w:r>
          </w:p>
        </w:tc>
        <w:tc>
          <w:tcPr>
            <w:tcW w:w="2100" w:type="dxa"/>
            <w:tcBorders>
              <w:top w:val="single" w:sz="4" w:space="0" w:color="9BBB59"/>
              <w:left w:val="nil"/>
              <w:bottom w:val="nil"/>
              <w:right w:val="single" w:sz="4" w:space="0" w:color="9BBB59"/>
            </w:tcBorders>
            <w:shd w:val="clear" w:color="000000" w:fill="FF000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-21.5%</w:t>
            </w:r>
          </w:p>
        </w:tc>
      </w:tr>
      <w:tr w:rsidR="00C13014" w:rsidRPr="00C13014" w:rsidTr="00C13014">
        <w:trPr>
          <w:trHeight w:val="288"/>
        </w:trPr>
        <w:tc>
          <w:tcPr>
            <w:tcW w:w="3740" w:type="dxa"/>
            <w:tcBorders>
              <w:top w:val="single" w:sz="4" w:space="0" w:color="9BBB59"/>
              <w:left w:val="single" w:sz="4" w:space="0" w:color="9BBB59"/>
              <w:bottom w:val="single" w:sz="4" w:space="0" w:color="9BBB59"/>
              <w:right w:val="nil"/>
            </w:tcBorders>
            <w:shd w:val="clear" w:color="auto" w:fill="auto"/>
            <w:noWrap/>
            <w:vAlign w:val="bottom"/>
            <w:hideMark/>
          </w:tcPr>
          <w:p w:rsidR="00C13014" w:rsidRPr="00C13014" w:rsidRDefault="00C13014" w:rsidP="00C13014">
            <w:pPr>
              <w:spacing w:line="240" w:lineRule="auto"/>
              <w:jc w:val="left"/>
              <w:rPr>
                <w:rFonts w:ascii="Calibri" w:eastAsia="Times New Roman" w:hAnsi="Calibri" w:cs="Times New Roman"/>
                <w:b/>
                <w:bCs/>
                <w:color w:val="000000"/>
                <w:sz w:val="22"/>
                <w:szCs w:val="22"/>
                <w:lang w:val="en-ZA" w:eastAsia="en-ZA"/>
              </w:rPr>
            </w:pPr>
            <w:r w:rsidRPr="00C13014">
              <w:rPr>
                <w:rFonts w:ascii="Calibri" w:eastAsia="Times New Roman" w:hAnsi="Calibri" w:cs="Times New Roman"/>
                <w:b/>
                <w:bCs/>
                <w:color w:val="000000"/>
                <w:sz w:val="22"/>
                <w:szCs w:val="22"/>
                <w:lang w:val="en-ZA" w:eastAsia="en-ZA"/>
              </w:rPr>
              <w:t>Total Investment Index</w:t>
            </w:r>
          </w:p>
        </w:tc>
        <w:tc>
          <w:tcPr>
            <w:tcW w:w="2480" w:type="dxa"/>
            <w:tcBorders>
              <w:top w:val="single" w:sz="4" w:space="0" w:color="9BBB59"/>
              <w:left w:val="nil"/>
              <w:bottom w:val="single" w:sz="4" w:space="0" w:color="9BBB59"/>
              <w:right w:val="nil"/>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6.3%</w:t>
            </w:r>
          </w:p>
        </w:tc>
        <w:tc>
          <w:tcPr>
            <w:tcW w:w="2100" w:type="dxa"/>
            <w:tcBorders>
              <w:top w:val="single" w:sz="4" w:space="0" w:color="9BBB59"/>
              <w:left w:val="nil"/>
              <w:bottom w:val="single" w:sz="4" w:space="0" w:color="9BBB59"/>
              <w:right w:val="single" w:sz="4" w:space="0" w:color="9BBB59"/>
            </w:tcBorders>
            <w:shd w:val="clear" w:color="000000" w:fill="00B050"/>
            <w:noWrap/>
            <w:vAlign w:val="bottom"/>
            <w:hideMark/>
          </w:tcPr>
          <w:p w:rsidR="00C13014" w:rsidRPr="00C13014" w:rsidRDefault="00C13014" w:rsidP="00C13014">
            <w:pPr>
              <w:spacing w:line="240" w:lineRule="auto"/>
              <w:jc w:val="right"/>
              <w:rPr>
                <w:rFonts w:ascii="Calibri" w:eastAsia="Times New Roman" w:hAnsi="Calibri" w:cs="Times New Roman"/>
                <w:color w:val="auto"/>
                <w:sz w:val="22"/>
                <w:szCs w:val="22"/>
                <w:lang w:val="en-ZA" w:eastAsia="en-ZA"/>
              </w:rPr>
            </w:pPr>
            <w:r w:rsidRPr="00C13014">
              <w:rPr>
                <w:rFonts w:ascii="Calibri" w:eastAsia="Times New Roman" w:hAnsi="Calibri" w:cs="Times New Roman"/>
                <w:color w:val="auto"/>
                <w:sz w:val="22"/>
                <w:szCs w:val="22"/>
                <w:lang w:val="en-ZA" w:eastAsia="en-ZA"/>
              </w:rPr>
              <w:t>4.5%</w:t>
            </w:r>
          </w:p>
        </w:tc>
      </w:tr>
    </w:tbl>
    <w:p w:rsidR="007F7630" w:rsidRDefault="007F7630" w:rsidP="007F7630">
      <w:pPr>
        <w:spacing w:before="100" w:beforeAutospacing="1" w:after="100" w:afterAutospacing="1" w:line="240" w:lineRule="auto"/>
        <w:rPr>
          <w:rFonts w:ascii="Arial" w:hAnsi="Arial"/>
          <w:b/>
          <w:bCs/>
          <w:lang w:val="en-GB"/>
        </w:rPr>
      </w:pPr>
    </w:p>
    <w:p w:rsidR="007F7630" w:rsidRPr="007F7630" w:rsidRDefault="007F7630" w:rsidP="007F7630">
      <w:pPr>
        <w:spacing w:before="100" w:beforeAutospacing="1" w:after="100" w:afterAutospacing="1" w:line="240" w:lineRule="auto"/>
        <w:rPr>
          <w:rFonts w:ascii="Arial" w:hAnsi="Arial"/>
          <w:b/>
          <w:bCs/>
          <w:lang w:val="en-GB"/>
        </w:rPr>
      </w:pPr>
    </w:p>
    <w:p w:rsidR="007F7630" w:rsidRPr="007F7630" w:rsidRDefault="007F7630" w:rsidP="007F7630">
      <w:pPr>
        <w:spacing w:before="100" w:beforeAutospacing="1" w:after="100" w:afterAutospacing="1" w:line="240" w:lineRule="auto"/>
        <w:rPr>
          <w:rFonts w:ascii="Arial" w:hAnsi="Arial"/>
          <w:bCs/>
          <w:lang w:val="en-GB"/>
        </w:rPr>
      </w:pPr>
    </w:p>
    <w:p w:rsidR="007F7630" w:rsidRPr="007F7630" w:rsidRDefault="007F7630" w:rsidP="007F7630">
      <w:pPr>
        <w:spacing w:before="100" w:beforeAutospacing="1" w:after="100" w:afterAutospacing="1" w:line="240" w:lineRule="auto"/>
        <w:rPr>
          <w:rFonts w:ascii="Arial" w:hAnsi="Arial"/>
          <w:bCs/>
          <w:lang w:val="en-GB"/>
        </w:rPr>
      </w:pPr>
    </w:p>
    <w:p w:rsidR="007F7630" w:rsidRPr="007F7630" w:rsidRDefault="007F7630" w:rsidP="007F7630">
      <w:pPr>
        <w:spacing w:before="100" w:beforeAutospacing="1" w:after="100" w:afterAutospacing="1" w:line="240" w:lineRule="auto"/>
        <w:rPr>
          <w:rFonts w:ascii="Arial" w:hAnsi="Arial"/>
          <w:bCs/>
          <w:lang w:val="en-GB"/>
        </w:rPr>
      </w:pPr>
    </w:p>
    <w:p w:rsidR="00454BB1" w:rsidRPr="00CD39B4" w:rsidRDefault="00454BB1" w:rsidP="007F7630">
      <w:pPr>
        <w:spacing w:before="100" w:beforeAutospacing="1" w:after="100" w:afterAutospacing="1" w:line="240" w:lineRule="auto"/>
        <w:rPr>
          <w:rFonts w:ascii="Arial" w:hAnsi="Arial"/>
        </w:rPr>
      </w:pPr>
    </w:p>
    <w:sectPr w:rsidR="00454BB1" w:rsidRPr="00CD39B4" w:rsidSect="003B0BDF">
      <w:headerReference w:type="default" r:id="rId10"/>
      <w:footerReference w:type="default" r:id="rId11"/>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7F5" w:rsidRDefault="000F07F5" w:rsidP="005A53F9">
      <w:pPr>
        <w:spacing w:line="240" w:lineRule="auto"/>
      </w:pPr>
      <w:r>
        <w:separator/>
      </w:r>
    </w:p>
  </w:endnote>
  <w:endnote w:type="continuationSeparator" w:id="0">
    <w:p w:rsidR="000F07F5" w:rsidRDefault="000F07F5"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A5566A">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7F5" w:rsidRDefault="000F07F5" w:rsidP="005A53F9">
      <w:pPr>
        <w:spacing w:line="240" w:lineRule="auto"/>
      </w:pPr>
      <w:r>
        <w:separator/>
      </w:r>
    </w:p>
  </w:footnote>
  <w:footnote w:type="continuationSeparator" w:id="0">
    <w:p w:rsidR="000F07F5" w:rsidRDefault="000F07F5"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007C6691">
      <w:rPr>
        <w:noProof/>
        <w:lang w:val="en-ZA" w:eastAsia="en-ZA"/>
      </w:rPr>
      <w:drawing>
        <wp:inline distT="0" distB="0" distL="0" distR="0">
          <wp:extent cx="2447925" cy="519954"/>
          <wp:effectExtent l="19050" t="0" r="952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447925" cy="519954"/>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A346C"/>
    <w:rsid w:val="000C27C2"/>
    <w:rsid w:val="000F07F5"/>
    <w:rsid w:val="000F6EDC"/>
    <w:rsid w:val="00104892"/>
    <w:rsid w:val="0012629B"/>
    <w:rsid w:val="0014110B"/>
    <w:rsid w:val="00161F9C"/>
    <w:rsid w:val="00184712"/>
    <w:rsid w:val="001E4052"/>
    <w:rsid w:val="00266108"/>
    <w:rsid w:val="0029510E"/>
    <w:rsid w:val="002F340E"/>
    <w:rsid w:val="003B0BDF"/>
    <w:rsid w:val="003C1263"/>
    <w:rsid w:val="003D2C89"/>
    <w:rsid w:val="003E5E94"/>
    <w:rsid w:val="00416766"/>
    <w:rsid w:val="00451BA1"/>
    <w:rsid w:val="00454BB1"/>
    <w:rsid w:val="005320CC"/>
    <w:rsid w:val="0055432C"/>
    <w:rsid w:val="00560FC5"/>
    <w:rsid w:val="005A53F9"/>
    <w:rsid w:val="005E1A21"/>
    <w:rsid w:val="005F396D"/>
    <w:rsid w:val="00662636"/>
    <w:rsid w:val="00680206"/>
    <w:rsid w:val="00685C8D"/>
    <w:rsid w:val="0069663D"/>
    <w:rsid w:val="006A6E68"/>
    <w:rsid w:val="006C21FF"/>
    <w:rsid w:val="006C3022"/>
    <w:rsid w:val="006D1C90"/>
    <w:rsid w:val="00717F82"/>
    <w:rsid w:val="00726F5E"/>
    <w:rsid w:val="00756B58"/>
    <w:rsid w:val="007743C5"/>
    <w:rsid w:val="007746EC"/>
    <w:rsid w:val="0078551F"/>
    <w:rsid w:val="007B66FB"/>
    <w:rsid w:val="007C6691"/>
    <w:rsid w:val="007F7630"/>
    <w:rsid w:val="008118BF"/>
    <w:rsid w:val="00855F84"/>
    <w:rsid w:val="008734E5"/>
    <w:rsid w:val="00887C82"/>
    <w:rsid w:val="008C38FE"/>
    <w:rsid w:val="009321BA"/>
    <w:rsid w:val="00946625"/>
    <w:rsid w:val="00950B0E"/>
    <w:rsid w:val="009F4B73"/>
    <w:rsid w:val="00A31FFD"/>
    <w:rsid w:val="00A5566A"/>
    <w:rsid w:val="00A700CF"/>
    <w:rsid w:val="00B12C09"/>
    <w:rsid w:val="00B63885"/>
    <w:rsid w:val="00B705F6"/>
    <w:rsid w:val="00B72457"/>
    <w:rsid w:val="00BD3888"/>
    <w:rsid w:val="00C13014"/>
    <w:rsid w:val="00C17D4A"/>
    <w:rsid w:val="00C646B7"/>
    <w:rsid w:val="00C94F75"/>
    <w:rsid w:val="00CA46F5"/>
    <w:rsid w:val="00CC5AD1"/>
    <w:rsid w:val="00CD2455"/>
    <w:rsid w:val="00CD39B4"/>
    <w:rsid w:val="00D04DFB"/>
    <w:rsid w:val="00D05FA7"/>
    <w:rsid w:val="00D07179"/>
    <w:rsid w:val="00D177BD"/>
    <w:rsid w:val="00DE082C"/>
    <w:rsid w:val="00E4336B"/>
    <w:rsid w:val="00E857F8"/>
    <w:rsid w:val="00EB6C11"/>
    <w:rsid w:val="00EC2FEE"/>
    <w:rsid w:val="00EF73C6"/>
    <w:rsid w:val="00F04BA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indices'!$A$72:$A$145</c:f>
              <c:numCache>
                <c:formatCode>mmm\-yy</c:formatCode>
                <c:ptCount val="74"/>
                <c:pt idx="0">
                  <c:v>39295</c:v>
                </c:pt>
                <c:pt idx="1">
                  <c:v>39326</c:v>
                </c:pt>
                <c:pt idx="2">
                  <c:v>39356</c:v>
                </c:pt>
                <c:pt idx="3">
                  <c:v>39387</c:v>
                </c:pt>
                <c:pt idx="4">
                  <c:v>39417</c:v>
                </c:pt>
                <c:pt idx="5">
                  <c:v>39448</c:v>
                </c:pt>
                <c:pt idx="6">
                  <c:v>39479</c:v>
                </c:pt>
                <c:pt idx="7">
                  <c:v>39508</c:v>
                </c:pt>
                <c:pt idx="8">
                  <c:v>39539</c:v>
                </c:pt>
                <c:pt idx="9">
                  <c:v>39569</c:v>
                </c:pt>
                <c:pt idx="10">
                  <c:v>39600</c:v>
                </c:pt>
                <c:pt idx="11">
                  <c:v>39630</c:v>
                </c:pt>
                <c:pt idx="12">
                  <c:v>39661</c:v>
                </c:pt>
                <c:pt idx="13">
                  <c:v>39692</c:v>
                </c:pt>
                <c:pt idx="14">
                  <c:v>39722</c:v>
                </c:pt>
                <c:pt idx="15">
                  <c:v>39753</c:v>
                </c:pt>
                <c:pt idx="16">
                  <c:v>39783</c:v>
                </c:pt>
                <c:pt idx="17">
                  <c:v>39814</c:v>
                </c:pt>
                <c:pt idx="18">
                  <c:v>39845</c:v>
                </c:pt>
                <c:pt idx="19">
                  <c:v>39873</c:v>
                </c:pt>
                <c:pt idx="20">
                  <c:v>39904</c:v>
                </c:pt>
                <c:pt idx="21">
                  <c:v>39934</c:v>
                </c:pt>
                <c:pt idx="22">
                  <c:v>39965</c:v>
                </c:pt>
                <c:pt idx="23">
                  <c:v>39995</c:v>
                </c:pt>
                <c:pt idx="24">
                  <c:v>40026</c:v>
                </c:pt>
                <c:pt idx="25">
                  <c:v>40057</c:v>
                </c:pt>
                <c:pt idx="26">
                  <c:v>40087</c:v>
                </c:pt>
                <c:pt idx="27">
                  <c:v>40118</c:v>
                </c:pt>
                <c:pt idx="28">
                  <c:v>40148</c:v>
                </c:pt>
                <c:pt idx="29">
                  <c:v>40179</c:v>
                </c:pt>
                <c:pt idx="30">
                  <c:v>40210</c:v>
                </c:pt>
                <c:pt idx="31">
                  <c:v>40238</c:v>
                </c:pt>
                <c:pt idx="32">
                  <c:v>40269</c:v>
                </c:pt>
                <c:pt idx="33">
                  <c:v>40299</c:v>
                </c:pt>
                <c:pt idx="34">
                  <c:v>40330</c:v>
                </c:pt>
                <c:pt idx="35">
                  <c:v>40360</c:v>
                </c:pt>
                <c:pt idx="36">
                  <c:v>40391</c:v>
                </c:pt>
                <c:pt idx="37">
                  <c:v>40422</c:v>
                </c:pt>
                <c:pt idx="38">
                  <c:v>40452</c:v>
                </c:pt>
                <c:pt idx="39">
                  <c:v>40483</c:v>
                </c:pt>
                <c:pt idx="40">
                  <c:v>40513</c:v>
                </c:pt>
                <c:pt idx="41">
                  <c:v>40544</c:v>
                </c:pt>
                <c:pt idx="42">
                  <c:v>40575</c:v>
                </c:pt>
                <c:pt idx="43">
                  <c:v>40603</c:v>
                </c:pt>
                <c:pt idx="44">
                  <c:v>40634</c:v>
                </c:pt>
                <c:pt idx="45">
                  <c:v>40664</c:v>
                </c:pt>
                <c:pt idx="46">
                  <c:v>40695</c:v>
                </c:pt>
                <c:pt idx="47">
                  <c:v>40725</c:v>
                </c:pt>
                <c:pt idx="48">
                  <c:v>40756</c:v>
                </c:pt>
                <c:pt idx="49">
                  <c:v>40787</c:v>
                </c:pt>
                <c:pt idx="50">
                  <c:v>40817</c:v>
                </c:pt>
                <c:pt idx="51">
                  <c:v>40848</c:v>
                </c:pt>
                <c:pt idx="52">
                  <c:v>40878</c:v>
                </c:pt>
                <c:pt idx="53">
                  <c:v>40909</c:v>
                </c:pt>
                <c:pt idx="54">
                  <c:v>40940</c:v>
                </c:pt>
                <c:pt idx="55">
                  <c:v>40969</c:v>
                </c:pt>
                <c:pt idx="56">
                  <c:v>41000</c:v>
                </c:pt>
                <c:pt idx="57">
                  <c:v>41030</c:v>
                </c:pt>
                <c:pt idx="58">
                  <c:v>41061</c:v>
                </c:pt>
                <c:pt idx="59">
                  <c:v>41091</c:v>
                </c:pt>
                <c:pt idx="60">
                  <c:v>41122</c:v>
                </c:pt>
                <c:pt idx="61">
                  <c:v>41153</c:v>
                </c:pt>
                <c:pt idx="62">
                  <c:v>41183</c:v>
                </c:pt>
                <c:pt idx="63">
                  <c:v>41214</c:v>
                </c:pt>
                <c:pt idx="64">
                  <c:v>41244</c:v>
                </c:pt>
                <c:pt idx="65">
                  <c:v>41275</c:v>
                </c:pt>
                <c:pt idx="66">
                  <c:v>41306</c:v>
                </c:pt>
                <c:pt idx="67">
                  <c:v>41334</c:v>
                </c:pt>
                <c:pt idx="68">
                  <c:v>41365</c:v>
                </c:pt>
                <c:pt idx="69">
                  <c:v>41395</c:v>
                </c:pt>
                <c:pt idx="70">
                  <c:v>41426</c:v>
                </c:pt>
                <c:pt idx="71">
                  <c:v>41456</c:v>
                </c:pt>
                <c:pt idx="72">
                  <c:v>41487</c:v>
                </c:pt>
              </c:numCache>
            </c:numRef>
          </c:cat>
          <c:val>
            <c:numRef>
              <c:f>'Sea adjusted indices'!$AQ$72:$AQ$145</c:f>
              <c:numCache>
                <c:formatCode>0.0</c:formatCode>
                <c:ptCount val="74"/>
                <c:pt idx="0">
                  <c:v>128.38663783111861</c:v>
                </c:pt>
                <c:pt idx="1">
                  <c:v>128.02460914021941</c:v>
                </c:pt>
                <c:pt idx="2">
                  <c:v>127.60715814892662</c:v>
                </c:pt>
                <c:pt idx="3">
                  <c:v>123.88162169913954</c:v>
                </c:pt>
                <c:pt idx="4">
                  <c:v>124.29466074049844</c:v>
                </c:pt>
                <c:pt idx="5">
                  <c:v>123.20528335584162</c:v>
                </c:pt>
                <c:pt idx="6">
                  <c:v>129.94716326448324</c:v>
                </c:pt>
                <c:pt idx="7">
                  <c:v>133.41606188562787</c:v>
                </c:pt>
                <c:pt idx="8">
                  <c:v>140.04353522891648</c:v>
                </c:pt>
                <c:pt idx="9">
                  <c:v>136.51021864173424</c:v>
                </c:pt>
                <c:pt idx="10">
                  <c:v>138.59182234365377</c:v>
                </c:pt>
                <c:pt idx="11">
                  <c:v>133.59440483856901</c:v>
                </c:pt>
                <c:pt idx="12">
                  <c:v>131.17138821023738</c:v>
                </c:pt>
                <c:pt idx="13">
                  <c:v>127.90433861548226</c:v>
                </c:pt>
                <c:pt idx="14">
                  <c:v>128.63764949161882</c:v>
                </c:pt>
                <c:pt idx="15">
                  <c:v>131.84443241902034</c:v>
                </c:pt>
                <c:pt idx="16">
                  <c:v>133.45297231697796</c:v>
                </c:pt>
                <c:pt idx="17">
                  <c:v>137.12796023124361</c:v>
                </c:pt>
                <c:pt idx="18">
                  <c:v>129.97943644571603</c:v>
                </c:pt>
                <c:pt idx="19">
                  <c:v>124.65435802024081</c:v>
                </c:pt>
                <c:pt idx="20">
                  <c:v>119.87919231030294</c:v>
                </c:pt>
                <c:pt idx="21">
                  <c:v>117.21153430375908</c:v>
                </c:pt>
                <c:pt idx="22">
                  <c:v>112.78596305875107</c:v>
                </c:pt>
                <c:pt idx="23">
                  <c:v>110.04800553061487</c:v>
                </c:pt>
                <c:pt idx="24">
                  <c:v>107.39123661119184</c:v>
                </c:pt>
                <c:pt idx="25">
                  <c:v>105.0301597767929</c:v>
                </c:pt>
                <c:pt idx="26">
                  <c:v>105.55684764155335</c:v>
                </c:pt>
                <c:pt idx="27">
                  <c:v>105.9838786615891</c:v>
                </c:pt>
                <c:pt idx="28">
                  <c:v>106.03932224052176</c:v>
                </c:pt>
                <c:pt idx="29">
                  <c:v>113.00242960246891</c:v>
                </c:pt>
                <c:pt idx="30">
                  <c:v>113.19649750186277</c:v>
                </c:pt>
                <c:pt idx="31">
                  <c:v>112.59483863954304</c:v>
                </c:pt>
                <c:pt idx="32">
                  <c:v>108.83934454173716</c:v>
                </c:pt>
                <c:pt idx="33">
                  <c:v>113.32878991214751</c:v>
                </c:pt>
                <c:pt idx="34">
                  <c:v>113.02664918993302</c:v>
                </c:pt>
                <c:pt idx="35">
                  <c:v>112.97622258527267</c:v>
                </c:pt>
                <c:pt idx="36">
                  <c:v>114.51227798205136</c:v>
                </c:pt>
                <c:pt idx="37">
                  <c:v>117.77803656005476</c:v>
                </c:pt>
                <c:pt idx="38">
                  <c:v>119.11889537049555</c:v>
                </c:pt>
                <c:pt idx="39">
                  <c:v>114.80218718472054</c:v>
                </c:pt>
                <c:pt idx="40">
                  <c:v>115.83381197476804</c:v>
                </c:pt>
                <c:pt idx="41">
                  <c:v>121.73783560015593</c:v>
                </c:pt>
                <c:pt idx="42">
                  <c:v>124.6816850987445</c:v>
                </c:pt>
                <c:pt idx="43">
                  <c:v>129.39753094051346</c:v>
                </c:pt>
                <c:pt idx="44">
                  <c:v>122.44058585275675</c:v>
                </c:pt>
                <c:pt idx="45">
                  <c:v>119.26762133853958</c:v>
                </c:pt>
                <c:pt idx="46">
                  <c:v>111.87033023755419</c:v>
                </c:pt>
                <c:pt idx="47">
                  <c:v>114.04221602662756</c:v>
                </c:pt>
                <c:pt idx="48">
                  <c:v>116.53989536595181</c:v>
                </c:pt>
                <c:pt idx="49">
                  <c:v>123.61611217915065</c:v>
                </c:pt>
                <c:pt idx="50">
                  <c:v>127.70763224039399</c:v>
                </c:pt>
                <c:pt idx="51">
                  <c:v>132.68988314185333</c:v>
                </c:pt>
                <c:pt idx="52">
                  <c:v>133.18348295834517</c:v>
                </c:pt>
                <c:pt idx="53">
                  <c:v>140.44977822973209</c:v>
                </c:pt>
                <c:pt idx="54">
                  <c:v>135.39848407838639</c:v>
                </c:pt>
                <c:pt idx="55">
                  <c:v>129.63923702493884</c:v>
                </c:pt>
                <c:pt idx="56">
                  <c:v>133.60335121832767</c:v>
                </c:pt>
                <c:pt idx="57">
                  <c:v>139.74814065466521</c:v>
                </c:pt>
                <c:pt idx="58">
                  <c:v>143.10415771212661</c:v>
                </c:pt>
                <c:pt idx="59">
                  <c:v>144.75547632827406</c:v>
                </c:pt>
                <c:pt idx="60">
                  <c:v>139.41500854448998</c:v>
                </c:pt>
                <c:pt idx="61">
                  <c:v>140.26929697417378</c:v>
                </c:pt>
                <c:pt idx="62">
                  <c:v>140.61793544296765</c:v>
                </c:pt>
                <c:pt idx="63">
                  <c:v>136.80643526041237</c:v>
                </c:pt>
                <c:pt idx="64">
                  <c:v>131.12502678216478</c:v>
                </c:pt>
                <c:pt idx="65">
                  <c:v>135.3725635214447</c:v>
                </c:pt>
                <c:pt idx="66">
                  <c:v>139.00437079951112</c:v>
                </c:pt>
                <c:pt idx="67">
                  <c:v>140.18697287244638</c:v>
                </c:pt>
                <c:pt idx="68">
                  <c:v>140.59900551769809</c:v>
                </c:pt>
                <c:pt idx="69">
                  <c:v>141.78324249025593</c:v>
                </c:pt>
                <c:pt idx="70">
                  <c:v>143.99908033128597</c:v>
                </c:pt>
                <c:pt idx="71">
                  <c:v>147.81842480026839</c:v>
                </c:pt>
                <c:pt idx="72">
                  <c:v>148.23175208337855</c:v>
                </c:pt>
              </c:numCache>
            </c:numRef>
          </c:val>
        </c:ser>
        <c:marker val="1"/>
        <c:axId val="9634560"/>
        <c:axId val="9636096"/>
      </c:lineChart>
      <c:dateAx>
        <c:axId val="9634560"/>
        <c:scaling>
          <c:orientation val="minMax"/>
        </c:scaling>
        <c:axPos val="b"/>
        <c:numFmt formatCode="mmm\-yy" sourceLinked="1"/>
        <c:tickLblPos val="nextTo"/>
        <c:txPr>
          <a:bodyPr/>
          <a:lstStyle/>
          <a:p>
            <a:pPr>
              <a:defRPr sz="1200" b="1"/>
            </a:pPr>
            <a:endParaRPr lang="en-US"/>
          </a:p>
        </c:txPr>
        <c:crossAx val="9636096"/>
        <c:crosses val="autoZero"/>
        <c:auto val="1"/>
        <c:lblOffset val="100"/>
        <c:baseTimeUnit val="months"/>
      </c:dateAx>
      <c:valAx>
        <c:axId val="9636096"/>
        <c:scaling>
          <c:orientation val="minMax"/>
          <c:min val="100"/>
        </c:scaling>
        <c:axPos val="l"/>
        <c:majorGridlines/>
        <c:numFmt formatCode="0" sourceLinked="0"/>
        <c:tickLblPos val="nextTo"/>
        <c:txPr>
          <a:bodyPr/>
          <a:lstStyle/>
          <a:p>
            <a:pPr>
              <a:defRPr sz="1200" b="1"/>
            </a:pPr>
            <a:endParaRPr lang="en-US"/>
          </a:p>
        </c:txPr>
        <c:crossAx val="9634560"/>
        <c:crosses val="autoZero"/>
        <c:crossBetween val="between"/>
      </c:valAx>
      <c:spPr>
        <a:noFill/>
      </c:spPr>
    </c:plotArea>
    <c:legend>
      <c:legendPos val="t"/>
      <c:layout>
        <c:manualLayout>
          <c:xMode val="edge"/>
          <c:yMode val="edge"/>
          <c:x val="0.12138098122350091"/>
          <c:y val="9.0646223141366708E-2"/>
          <c:w val="0.5620511138030827"/>
          <c:h val="9.1726721952675047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AFBBE-1838-4AED-857D-243DD7A59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2013-11-13T23:51:00Z</dcterms:created>
  <dcterms:modified xsi:type="dcterms:W3CDTF">2013-11-13T23:51:00Z</dcterms:modified>
</cp:coreProperties>
</file>