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D24" w:rsidRDefault="007C7D24" w:rsidP="007C7D24">
      <w:pPr>
        <w:jc w:val="both"/>
        <w:rPr>
          <w:rFonts w:ascii="Arial" w:hAnsi="Arial" w:cs="Arial"/>
        </w:rPr>
      </w:pPr>
      <w:r w:rsidRPr="007C7D24">
        <w:rPr>
          <w:rFonts w:ascii="Arial" w:hAnsi="Arial" w:cs="Arial"/>
        </w:rPr>
        <w:drawing>
          <wp:inline distT="0" distB="0" distL="0" distR="0">
            <wp:extent cx="5729797" cy="3476445"/>
            <wp:effectExtent l="19050" t="0" r="23303"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7C7D24" w:rsidRDefault="007C7D24" w:rsidP="007C7D24">
      <w:pPr>
        <w:jc w:val="both"/>
        <w:rPr>
          <w:rFonts w:ascii="Arial" w:hAnsi="Arial" w:cs="Arial"/>
        </w:rPr>
      </w:pPr>
    </w:p>
    <w:tbl>
      <w:tblPr>
        <w:tblStyle w:val="MediumGrid3-Accent1"/>
        <w:tblW w:w="8962" w:type="dxa"/>
        <w:tblLook w:val="04A0"/>
      </w:tblPr>
      <w:tblGrid>
        <w:gridCol w:w="5944"/>
        <w:gridCol w:w="1509"/>
        <w:gridCol w:w="1509"/>
      </w:tblGrid>
      <w:tr w:rsidR="007C7D24" w:rsidRPr="007C7D24" w:rsidTr="007C7D24">
        <w:trPr>
          <w:cnfStyle w:val="1000000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Pr>
                <w:rFonts w:ascii="Calibri" w:eastAsia="Times New Roman" w:hAnsi="Calibri" w:cs="Times New Roman"/>
                <w:color w:val="000000"/>
                <w:lang w:eastAsia="en-ZA"/>
              </w:rPr>
              <w:t>2013</w:t>
            </w:r>
          </w:p>
        </w:tc>
        <w:tc>
          <w:tcPr>
            <w:tcW w:w="1509" w:type="dxa"/>
            <w:noWrap/>
            <w:hideMark/>
          </w:tcPr>
          <w:p w:rsidR="007C7D24" w:rsidRPr="007C7D24" w:rsidRDefault="007C7D24" w:rsidP="007C7D24">
            <w:pPr>
              <w:jc w:val="center"/>
              <w:cnfStyle w:val="100000000000"/>
              <w:rPr>
                <w:rFonts w:ascii="Calibri" w:eastAsia="Times New Roman" w:hAnsi="Calibri" w:cs="Times New Roman"/>
                <w:color w:val="000000"/>
                <w:lang w:eastAsia="en-ZA"/>
              </w:rPr>
            </w:pPr>
            <w:r>
              <w:rPr>
                <w:rFonts w:ascii="Calibri" w:eastAsia="Times New Roman" w:hAnsi="Calibri" w:cs="Times New Roman"/>
                <w:color w:val="000000"/>
                <w:lang w:eastAsia="en-ZA"/>
              </w:rPr>
              <w:t>SA</w:t>
            </w:r>
          </w:p>
        </w:tc>
        <w:tc>
          <w:tcPr>
            <w:tcW w:w="1509" w:type="dxa"/>
            <w:noWrap/>
            <w:hideMark/>
          </w:tcPr>
          <w:p w:rsidR="007C7D24" w:rsidRPr="007C7D24" w:rsidRDefault="007C7D24" w:rsidP="007C7D24">
            <w:pPr>
              <w:jc w:val="center"/>
              <w:cnfStyle w:val="100000000000"/>
              <w:rPr>
                <w:rFonts w:ascii="Calibri" w:eastAsia="Times New Roman" w:hAnsi="Calibri" w:cs="Times New Roman"/>
                <w:color w:val="000000"/>
                <w:lang w:eastAsia="en-ZA"/>
              </w:rPr>
            </w:pPr>
            <w:r>
              <w:rPr>
                <w:rFonts w:ascii="Calibri" w:eastAsia="Times New Roman" w:hAnsi="Calibri" w:cs="Times New Roman"/>
                <w:color w:val="000000"/>
                <w:lang w:eastAsia="en-ZA"/>
              </w:rPr>
              <w:t>KZN</w:t>
            </w:r>
          </w:p>
        </w:tc>
      </w:tr>
      <w:tr w:rsidR="007C7D24" w:rsidRPr="007C7D24" w:rsidTr="007C7D24">
        <w:trPr>
          <w:cnfStyle w:val="0000001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Primary Industries</w:t>
            </w:r>
          </w:p>
        </w:tc>
        <w:tc>
          <w:tcPr>
            <w:tcW w:w="1509" w:type="dxa"/>
            <w:noWrap/>
            <w:hideMark/>
          </w:tcPr>
          <w:p w:rsidR="007C7D24" w:rsidRPr="007C7D24" w:rsidRDefault="007C7D24" w:rsidP="007C7D24">
            <w:pPr>
              <w:jc w:val="center"/>
              <w:cnfStyle w:val="0000001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2.869215</w:t>
            </w:r>
          </w:p>
        </w:tc>
        <w:tc>
          <w:tcPr>
            <w:tcW w:w="1509" w:type="dxa"/>
            <w:noWrap/>
            <w:hideMark/>
          </w:tcPr>
          <w:p w:rsidR="007C7D24" w:rsidRPr="007C7D24" w:rsidRDefault="007C7D24" w:rsidP="007C7D24">
            <w:pPr>
              <w:jc w:val="center"/>
              <w:cnfStyle w:val="0000001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2.989908</w:t>
            </w:r>
          </w:p>
        </w:tc>
      </w:tr>
      <w:tr w:rsidR="007C7D24" w:rsidRPr="007C7D24" w:rsidTr="007C7D24">
        <w:trPr>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Agriculture, forestry and fishing</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2.311137</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3.427404</w:t>
            </w:r>
          </w:p>
        </w:tc>
      </w:tr>
      <w:tr w:rsidR="007C7D24" w:rsidRPr="007C7D24" w:rsidTr="007C7D24">
        <w:trPr>
          <w:cnfStyle w:val="0000001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Mining and quarrying</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3.115683</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1.447562</w:t>
            </w:r>
          </w:p>
        </w:tc>
      </w:tr>
      <w:tr w:rsidR="007C7D24" w:rsidRPr="007C7D24" w:rsidTr="007C7D24">
        <w:trPr>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Secondary Industries</w:t>
            </w:r>
          </w:p>
        </w:tc>
        <w:tc>
          <w:tcPr>
            <w:tcW w:w="1509" w:type="dxa"/>
            <w:noWrap/>
            <w:hideMark/>
          </w:tcPr>
          <w:p w:rsidR="007C7D24" w:rsidRPr="007C7D24" w:rsidRDefault="007C7D24" w:rsidP="007C7D24">
            <w:pPr>
              <w:jc w:val="center"/>
              <w:cnfStyle w:val="0000000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0.963316</w:t>
            </w:r>
          </w:p>
        </w:tc>
        <w:tc>
          <w:tcPr>
            <w:tcW w:w="1509" w:type="dxa"/>
            <w:noWrap/>
            <w:hideMark/>
          </w:tcPr>
          <w:p w:rsidR="007C7D24" w:rsidRPr="007C7D24" w:rsidRDefault="007C7D24" w:rsidP="007C7D24">
            <w:pPr>
              <w:jc w:val="center"/>
              <w:cnfStyle w:val="0000000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0.890896</w:t>
            </w:r>
          </w:p>
        </w:tc>
      </w:tr>
      <w:tr w:rsidR="007C7D24" w:rsidRPr="007C7D24" w:rsidTr="007C7D24">
        <w:trPr>
          <w:cnfStyle w:val="0000001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Manufacturing</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0.752874</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0.746256</w:t>
            </w:r>
          </w:p>
        </w:tc>
      </w:tr>
      <w:tr w:rsidR="007C7D24" w:rsidRPr="007C7D24" w:rsidTr="007C7D24">
        <w:trPr>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Electricity, gas and water</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-0.41612</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-0.70049</w:t>
            </w:r>
          </w:p>
        </w:tc>
      </w:tr>
      <w:tr w:rsidR="007C7D24" w:rsidRPr="007C7D24" w:rsidTr="007C7D24">
        <w:trPr>
          <w:cnfStyle w:val="0000001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Construction</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2.825099</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2.964737</w:t>
            </w:r>
          </w:p>
        </w:tc>
      </w:tr>
      <w:tr w:rsidR="007C7D24" w:rsidRPr="007C7D24" w:rsidTr="007C7D24">
        <w:trPr>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Tertiary industries</w:t>
            </w:r>
          </w:p>
        </w:tc>
        <w:tc>
          <w:tcPr>
            <w:tcW w:w="1509" w:type="dxa"/>
            <w:noWrap/>
            <w:hideMark/>
          </w:tcPr>
          <w:p w:rsidR="007C7D24" w:rsidRPr="007C7D24" w:rsidRDefault="007C7D24" w:rsidP="007C7D24">
            <w:pPr>
              <w:jc w:val="center"/>
              <w:cnfStyle w:val="0000000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2.045135</w:t>
            </w:r>
          </w:p>
        </w:tc>
        <w:tc>
          <w:tcPr>
            <w:tcW w:w="1509" w:type="dxa"/>
            <w:noWrap/>
            <w:hideMark/>
          </w:tcPr>
          <w:p w:rsidR="007C7D24" w:rsidRPr="007C7D24" w:rsidRDefault="007C7D24" w:rsidP="007C7D24">
            <w:pPr>
              <w:jc w:val="center"/>
              <w:cnfStyle w:val="0000000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2.187369</w:t>
            </w:r>
          </w:p>
        </w:tc>
      </w:tr>
      <w:tr w:rsidR="007C7D24" w:rsidRPr="007C7D24" w:rsidTr="007C7D24">
        <w:trPr>
          <w:cnfStyle w:val="0000001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Wholesale &amp; retail trade; hotels &amp; restaurants</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2.181388</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2.830806</w:t>
            </w:r>
          </w:p>
        </w:tc>
      </w:tr>
      <w:tr w:rsidR="007C7D24" w:rsidRPr="007C7D24" w:rsidTr="007C7D24">
        <w:trPr>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Transport , storage and communication</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1.929263</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1.715602</w:t>
            </w:r>
          </w:p>
        </w:tc>
      </w:tr>
      <w:tr w:rsidR="007C7D24" w:rsidRPr="007C7D24" w:rsidTr="007C7D24">
        <w:trPr>
          <w:cnfStyle w:val="0000001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Finance, real estate and business services</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2.407675</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2.495266</w:t>
            </w:r>
          </w:p>
        </w:tc>
      </w:tr>
      <w:tr w:rsidR="007C7D24" w:rsidRPr="007C7D24" w:rsidTr="007C7D24">
        <w:trPr>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Personal services</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1.755666</w:t>
            </w:r>
          </w:p>
        </w:tc>
        <w:tc>
          <w:tcPr>
            <w:tcW w:w="1509" w:type="dxa"/>
            <w:noWrap/>
            <w:hideMark/>
          </w:tcPr>
          <w:p w:rsidR="007C7D24" w:rsidRPr="007C7D24" w:rsidRDefault="007C7D24" w:rsidP="007C7D24">
            <w:pPr>
              <w:jc w:val="center"/>
              <w:cnfStyle w:val="0000000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1.991907</w:t>
            </w:r>
          </w:p>
        </w:tc>
      </w:tr>
      <w:tr w:rsidR="007C7D24" w:rsidRPr="007C7D24" w:rsidTr="007C7D24">
        <w:trPr>
          <w:cnfStyle w:val="000000100000"/>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General government services</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1.542691</w:t>
            </w:r>
          </w:p>
        </w:tc>
        <w:tc>
          <w:tcPr>
            <w:tcW w:w="1509" w:type="dxa"/>
            <w:noWrap/>
            <w:hideMark/>
          </w:tcPr>
          <w:p w:rsidR="007C7D24" w:rsidRPr="007C7D24" w:rsidRDefault="007C7D24" w:rsidP="007C7D24">
            <w:pPr>
              <w:jc w:val="center"/>
              <w:cnfStyle w:val="000000100000"/>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1.545641</w:t>
            </w:r>
          </w:p>
        </w:tc>
      </w:tr>
      <w:tr w:rsidR="007C7D24" w:rsidRPr="007C7D24" w:rsidTr="007C7D24">
        <w:trPr>
          <w:trHeight w:val="288"/>
        </w:trPr>
        <w:tc>
          <w:tcPr>
            <w:cnfStyle w:val="001000000000"/>
            <w:tcW w:w="5944" w:type="dxa"/>
            <w:noWrap/>
            <w:hideMark/>
          </w:tcPr>
          <w:p w:rsidR="007C7D24" w:rsidRPr="007C7D24" w:rsidRDefault="007C7D24" w:rsidP="007C7D24">
            <w:pPr>
              <w:rPr>
                <w:rFonts w:ascii="Calibri" w:eastAsia="Times New Roman" w:hAnsi="Calibri" w:cs="Times New Roman"/>
                <w:color w:val="000000"/>
                <w:lang w:eastAsia="en-ZA"/>
              </w:rPr>
            </w:pPr>
            <w:r w:rsidRPr="007C7D24">
              <w:rPr>
                <w:rFonts w:ascii="Calibri" w:eastAsia="Times New Roman" w:hAnsi="Calibri" w:cs="Times New Roman"/>
                <w:color w:val="000000"/>
                <w:lang w:eastAsia="en-ZA"/>
              </w:rPr>
              <w:t>SA - GDP at constant 2005 prices</w:t>
            </w:r>
          </w:p>
        </w:tc>
        <w:tc>
          <w:tcPr>
            <w:tcW w:w="1509" w:type="dxa"/>
            <w:noWrap/>
            <w:hideMark/>
          </w:tcPr>
          <w:p w:rsidR="007C7D24" w:rsidRPr="007C7D24" w:rsidRDefault="007C7D24" w:rsidP="007C7D24">
            <w:pPr>
              <w:jc w:val="center"/>
              <w:cnfStyle w:val="0000000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1.890628</w:t>
            </w:r>
          </w:p>
        </w:tc>
        <w:tc>
          <w:tcPr>
            <w:tcW w:w="1509" w:type="dxa"/>
            <w:noWrap/>
            <w:hideMark/>
          </w:tcPr>
          <w:p w:rsidR="007C7D24" w:rsidRPr="007C7D24" w:rsidRDefault="007C7D24" w:rsidP="007C7D24">
            <w:pPr>
              <w:jc w:val="center"/>
              <w:cnfStyle w:val="000000000000"/>
              <w:rPr>
                <w:rFonts w:ascii="Calibri" w:eastAsia="Times New Roman" w:hAnsi="Calibri" w:cs="Times New Roman"/>
                <w:b/>
                <w:color w:val="FF0000"/>
                <w:lang w:eastAsia="en-ZA"/>
              </w:rPr>
            </w:pPr>
            <w:r w:rsidRPr="007C7D24">
              <w:rPr>
                <w:rFonts w:ascii="Calibri" w:eastAsia="Times New Roman" w:hAnsi="Calibri" w:cs="Times New Roman"/>
                <w:b/>
                <w:color w:val="FF0000"/>
                <w:lang w:eastAsia="en-ZA"/>
              </w:rPr>
              <w:t>1.739445</w:t>
            </w:r>
          </w:p>
        </w:tc>
      </w:tr>
    </w:tbl>
    <w:p w:rsidR="007C7D24" w:rsidRDefault="007C7D24" w:rsidP="007C7D24">
      <w:pPr>
        <w:jc w:val="both"/>
        <w:rPr>
          <w:rFonts w:ascii="Arial" w:hAnsi="Arial" w:cs="Arial"/>
        </w:rPr>
      </w:pPr>
    </w:p>
    <w:p w:rsidR="007C7D24" w:rsidRPr="007C7D24" w:rsidRDefault="007C7D24" w:rsidP="007C7D24">
      <w:pPr>
        <w:jc w:val="both"/>
        <w:rPr>
          <w:rFonts w:ascii="Arial" w:hAnsi="Arial" w:cs="Arial"/>
        </w:rPr>
      </w:pPr>
      <w:r>
        <w:rPr>
          <w:rFonts w:ascii="Arial" w:hAnsi="Arial" w:cs="Arial"/>
        </w:rPr>
        <w:t>Yes KZN in 2013 underperformed SA because of the weak performance of the secondary industries and the weak performance of the transport etc industries which both have a much higher contribution to KZN economy than the SA economy. KZN did perform better in Tertiary sectors but the contribution of the KZN tertiary sector to the KZN economy is much lower than in the case of SA.</w:t>
      </w:r>
      <w:r w:rsidRPr="007C7D24">
        <w:rPr>
          <w:rFonts w:ascii="Arial" w:hAnsi="Arial" w:cs="Arial"/>
        </w:rPr>
        <w:t xml:space="preserve"> </w:t>
      </w:r>
    </w:p>
    <w:sectPr w:rsidR="007C7D24" w:rsidRPr="007C7D24" w:rsidSect="00FA438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C7D24"/>
    <w:rsid w:val="002A4388"/>
    <w:rsid w:val="00354BAF"/>
    <w:rsid w:val="0069640B"/>
    <w:rsid w:val="007C7D24"/>
    <w:rsid w:val="0091507A"/>
    <w:rsid w:val="00FA438A"/>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3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7D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D24"/>
    <w:rPr>
      <w:rFonts w:ascii="Tahoma" w:hAnsi="Tahoma" w:cs="Tahoma"/>
      <w:sz w:val="16"/>
      <w:szCs w:val="16"/>
    </w:rPr>
  </w:style>
  <w:style w:type="table" w:styleId="MediumShading2">
    <w:name w:val="Medium Shading 2"/>
    <w:basedOn w:val="TableNormal"/>
    <w:uiPriority w:val="64"/>
    <w:rsid w:val="007C7D2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1">
    <w:name w:val="Medium Grid 3 Accent 1"/>
    <w:basedOn w:val="TableNormal"/>
    <w:uiPriority w:val="69"/>
    <w:rsid w:val="007C7D2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s>
</file>

<file path=word/webSettings.xml><?xml version="1.0" encoding="utf-8"?>
<w:webSettings xmlns:r="http://schemas.openxmlformats.org/officeDocument/2006/relationships" xmlns:w="http://schemas.openxmlformats.org/wordprocessingml/2006/main">
  <w:divs>
    <w:div w:id="94176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user\Desktop\Treasury\Monthly%20Eco%20News%20Letters\KZN%20GDP%20Mod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plotArea>
      <c:layout>
        <c:manualLayout>
          <c:layoutTarget val="inner"/>
          <c:xMode val="edge"/>
          <c:yMode val="edge"/>
          <c:x val="4.8872757829090133E-2"/>
          <c:y val="1.9647357358338721E-2"/>
          <c:w val="0.94639564461386516"/>
          <c:h val="0.94582742509883899"/>
        </c:manualLayout>
      </c:layout>
      <c:lineChart>
        <c:grouping val="standard"/>
        <c:ser>
          <c:idx val="0"/>
          <c:order val="0"/>
          <c:tx>
            <c:strRef>
              <c:f>Annual!$A$80</c:f>
              <c:strCache>
                <c:ptCount val="1"/>
                <c:pt idx="0">
                  <c:v>SA - GDP at constant 2005 prices</c:v>
                </c:pt>
              </c:strCache>
            </c:strRef>
          </c:tx>
          <c:cat>
            <c:strRef>
              <c:f>Annual!$C$84:$T$84</c:f>
              <c:strCache>
                <c:ptCount val="18"/>
                <c:pt idx="0">
                  <c:v>1996</c:v>
                </c:pt>
                <c:pt idx="1">
                  <c:v>1997</c:v>
                </c:pt>
                <c:pt idx="2">
                  <c:v>1998</c:v>
                </c:pt>
                <c:pt idx="3">
                  <c:v>1999</c:v>
                </c:pt>
                <c:pt idx="4">
                  <c:v>2000</c:v>
                </c:pt>
                <c:pt idx="5">
                  <c:v>2001</c:v>
                </c:pt>
                <c:pt idx="6">
                  <c:v>2002</c:v>
                </c:pt>
                <c:pt idx="7">
                  <c:v>2003</c:v>
                </c:pt>
                <c:pt idx="8">
                  <c:v>2004</c:v>
                </c:pt>
                <c:pt idx="9">
                  <c:v>2005</c:v>
                </c:pt>
                <c:pt idx="10">
                  <c:v>2006</c:v>
                </c:pt>
                <c:pt idx="11">
                  <c:v>2007</c:v>
                </c:pt>
                <c:pt idx="12">
                  <c:v>2008</c:v>
                </c:pt>
                <c:pt idx="13">
                  <c:v>2009</c:v>
                </c:pt>
                <c:pt idx="14">
                  <c:v>2010</c:v>
                </c:pt>
                <c:pt idx="15">
                  <c:v>2011</c:v>
                </c:pt>
                <c:pt idx="16">
                  <c:v>2012</c:v>
                </c:pt>
                <c:pt idx="17">
                  <c:v>2013</c:v>
                </c:pt>
              </c:strCache>
            </c:strRef>
          </c:cat>
          <c:val>
            <c:numRef>
              <c:f>Annual!$C$80:$T$80</c:f>
              <c:numCache>
                <c:formatCode>#,##0.00</c:formatCode>
                <c:ptCount val="18"/>
                <c:pt idx="0">
                  <c:v>3.9124055015246202</c:v>
                </c:pt>
                <c:pt idx="1">
                  <c:v>2.5526741402699931</c:v>
                </c:pt>
                <c:pt idx="2">
                  <c:v>0.50941483769572682</c:v>
                </c:pt>
                <c:pt idx="3">
                  <c:v>2.1993604303941736</c:v>
                </c:pt>
                <c:pt idx="4">
                  <c:v>3.9885898003321274</c:v>
                </c:pt>
                <c:pt idx="5">
                  <c:v>2.6804149810827274</c:v>
                </c:pt>
                <c:pt idx="6">
                  <c:v>3.5643215754646995</c:v>
                </c:pt>
                <c:pt idx="7">
                  <c:v>2.949075466902547</c:v>
                </c:pt>
                <c:pt idx="8">
                  <c:v>4.5545599068036751</c:v>
                </c:pt>
                <c:pt idx="9">
                  <c:v>5.2770519743303765</c:v>
                </c:pt>
                <c:pt idx="10">
                  <c:v>5.603806457840629</c:v>
                </c:pt>
                <c:pt idx="11">
                  <c:v>5.5476910828714514</c:v>
                </c:pt>
                <c:pt idx="12">
                  <c:v>3.6221140668034097</c:v>
                </c:pt>
                <c:pt idx="13">
                  <c:v>-1.5262364128473744</c:v>
                </c:pt>
                <c:pt idx="14">
                  <c:v>3.1400511386969954</c:v>
                </c:pt>
                <c:pt idx="15">
                  <c:v>3.5992796050564131</c:v>
                </c:pt>
                <c:pt idx="16">
                  <c:v>2.466829296789093</c:v>
                </c:pt>
                <c:pt idx="17">
                  <c:v>1.890628336917054</c:v>
                </c:pt>
              </c:numCache>
            </c:numRef>
          </c:val>
        </c:ser>
        <c:ser>
          <c:idx val="1"/>
          <c:order val="1"/>
          <c:tx>
            <c:strRef>
              <c:f>Annual!$A$100</c:f>
              <c:strCache>
                <c:ptCount val="1"/>
                <c:pt idx="0">
                  <c:v>KZN - GDPR at constant 2005 prices</c:v>
                </c:pt>
              </c:strCache>
            </c:strRef>
          </c:tx>
          <c:cat>
            <c:strRef>
              <c:f>Annual!$C$84:$T$84</c:f>
              <c:strCache>
                <c:ptCount val="18"/>
                <c:pt idx="0">
                  <c:v>1996</c:v>
                </c:pt>
                <c:pt idx="1">
                  <c:v>1997</c:v>
                </c:pt>
                <c:pt idx="2">
                  <c:v>1998</c:v>
                </c:pt>
                <c:pt idx="3">
                  <c:v>1999</c:v>
                </c:pt>
                <c:pt idx="4">
                  <c:v>2000</c:v>
                </c:pt>
                <c:pt idx="5">
                  <c:v>2001</c:v>
                </c:pt>
                <c:pt idx="6">
                  <c:v>2002</c:v>
                </c:pt>
                <c:pt idx="7">
                  <c:v>2003</c:v>
                </c:pt>
                <c:pt idx="8">
                  <c:v>2004</c:v>
                </c:pt>
                <c:pt idx="9">
                  <c:v>2005</c:v>
                </c:pt>
                <c:pt idx="10">
                  <c:v>2006</c:v>
                </c:pt>
                <c:pt idx="11">
                  <c:v>2007</c:v>
                </c:pt>
                <c:pt idx="12">
                  <c:v>2008</c:v>
                </c:pt>
                <c:pt idx="13">
                  <c:v>2009</c:v>
                </c:pt>
                <c:pt idx="14">
                  <c:v>2010</c:v>
                </c:pt>
                <c:pt idx="15">
                  <c:v>2011</c:v>
                </c:pt>
                <c:pt idx="16">
                  <c:v>2012</c:v>
                </c:pt>
                <c:pt idx="17">
                  <c:v>2013</c:v>
                </c:pt>
              </c:strCache>
            </c:strRef>
          </c:cat>
          <c:val>
            <c:numRef>
              <c:f>Annual!$C$100:$T$100</c:f>
              <c:numCache>
                <c:formatCode>#,##0.00</c:formatCode>
                <c:ptCount val="18"/>
                <c:pt idx="0">
                  <c:v>5.175490589482723</c:v>
                </c:pt>
                <c:pt idx="1">
                  <c:v>1.9480759691223584</c:v>
                </c:pt>
                <c:pt idx="2">
                  <c:v>0.87285779483851189</c:v>
                </c:pt>
                <c:pt idx="3">
                  <c:v>0.76800943160552637</c:v>
                </c:pt>
                <c:pt idx="4">
                  <c:v>4.6799296586110222</c:v>
                </c:pt>
                <c:pt idx="5">
                  <c:v>4.4541099648747124</c:v>
                </c:pt>
                <c:pt idx="6">
                  <c:v>2.4874919405530242</c:v>
                </c:pt>
                <c:pt idx="7">
                  <c:v>2.7432639906487402</c:v>
                </c:pt>
                <c:pt idx="8">
                  <c:v>4.496746489442879</c:v>
                </c:pt>
                <c:pt idx="9">
                  <c:v>5.7593018540806673</c:v>
                </c:pt>
                <c:pt idx="10">
                  <c:v>5.5333278654310973</c:v>
                </c:pt>
                <c:pt idx="11">
                  <c:v>5.8948084570002699</c:v>
                </c:pt>
                <c:pt idx="12">
                  <c:v>3.9731293461308819</c:v>
                </c:pt>
                <c:pt idx="13">
                  <c:v>-1.7814713512259468</c:v>
                </c:pt>
                <c:pt idx="14">
                  <c:v>4.0111945616728812</c:v>
                </c:pt>
                <c:pt idx="15">
                  <c:v>3.5589624319056057</c:v>
                </c:pt>
                <c:pt idx="16">
                  <c:v>2.8062301206934368</c:v>
                </c:pt>
                <c:pt idx="17">
                  <c:v>1.7394447202940611</c:v>
                </c:pt>
              </c:numCache>
            </c:numRef>
          </c:val>
        </c:ser>
        <c:ser>
          <c:idx val="2"/>
          <c:order val="2"/>
          <c:tx>
            <c:strRef>
              <c:f>Annual!$A$102</c:f>
              <c:strCache>
                <c:ptCount val="1"/>
                <c:pt idx="0">
                  <c:v>Targeted GDP</c:v>
                </c:pt>
              </c:strCache>
            </c:strRef>
          </c:tx>
          <c:val>
            <c:numRef>
              <c:f>Annual!$C$102:$T$102</c:f>
              <c:numCache>
                <c:formatCode>General</c:formatCode>
                <c:ptCount val="18"/>
                <c:pt idx="0">
                  <c:v>5</c:v>
                </c:pt>
                <c:pt idx="1">
                  <c:v>5</c:v>
                </c:pt>
                <c:pt idx="2">
                  <c:v>5</c:v>
                </c:pt>
                <c:pt idx="3">
                  <c:v>5</c:v>
                </c:pt>
                <c:pt idx="4">
                  <c:v>5</c:v>
                </c:pt>
                <c:pt idx="5">
                  <c:v>5</c:v>
                </c:pt>
                <c:pt idx="6">
                  <c:v>5</c:v>
                </c:pt>
                <c:pt idx="7">
                  <c:v>5</c:v>
                </c:pt>
                <c:pt idx="8">
                  <c:v>5</c:v>
                </c:pt>
                <c:pt idx="9">
                  <c:v>5</c:v>
                </c:pt>
                <c:pt idx="10">
                  <c:v>5</c:v>
                </c:pt>
                <c:pt idx="11">
                  <c:v>5</c:v>
                </c:pt>
                <c:pt idx="12">
                  <c:v>5</c:v>
                </c:pt>
                <c:pt idx="13">
                  <c:v>5</c:v>
                </c:pt>
                <c:pt idx="14">
                  <c:v>5</c:v>
                </c:pt>
                <c:pt idx="15">
                  <c:v>5</c:v>
                </c:pt>
                <c:pt idx="16">
                  <c:v>5</c:v>
                </c:pt>
                <c:pt idx="17">
                  <c:v>5</c:v>
                </c:pt>
              </c:numCache>
            </c:numRef>
          </c:val>
        </c:ser>
        <c:ser>
          <c:idx val="3"/>
          <c:order val="3"/>
          <c:tx>
            <c:strRef>
              <c:f>Annual!$A$103</c:f>
              <c:strCache>
                <c:ptCount val="1"/>
                <c:pt idx="0">
                  <c:v>Potential GDP</c:v>
                </c:pt>
              </c:strCache>
            </c:strRef>
          </c:tx>
          <c:val>
            <c:numRef>
              <c:f>Annual!$C$103:$T$103</c:f>
              <c:numCache>
                <c:formatCode>General</c:formatCode>
                <c:ptCount val="18"/>
                <c:pt idx="0">
                  <c:v>3.5</c:v>
                </c:pt>
                <c:pt idx="1">
                  <c:v>3.5</c:v>
                </c:pt>
                <c:pt idx="2">
                  <c:v>3.5</c:v>
                </c:pt>
                <c:pt idx="3">
                  <c:v>3.5</c:v>
                </c:pt>
                <c:pt idx="4">
                  <c:v>3.5</c:v>
                </c:pt>
                <c:pt idx="5">
                  <c:v>3.5</c:v>
                </c:pt>
                <c:pt idx="6">
                  <c:v>3.5</c:v>
                </c:pt>
                <c:pt idx="7">
                  <c:v>3.5</c:v>
                </c:pt>
                <c:pt idx="8">
                  <c:v>3.5</c:v>
                </c:pt>
                <c:pt idx="9">
                  <c:v>3.5</c:v>
                </c:pt>
                <c:pt idx="10">
                  <c:v>3.5</c:v>
                </c:pt>
                <c:pt idx="11">
                  <c:v>3.5</c:v>
                </c:pt>
                <c:pt idx="12">
                  <c:v>3.5</c:v>
                </c:pt>
                <c:pt idx="13">
                  <c:v>3.5</c:v>
                </c:pt>
                <c:pt idx="14">
                  <c:v>3.5</c:v>
                </c:pt>
                <c:pt idx="15">
                  <c:v>3.5</c:v>
                </c:pt>
                <c:pt idx="16">
                  <c:v>3.5</c:v>
                </c:pt>
                <c:pt idx="17">
                  <c:v>3.5</c:v>
                </c:pt>
              </c:numCache>
            </c:numRef>
          </c:val>
        </c:ser>
        <c:marker val="1"/>
        <c:axId val="111443328"/>
        <c:axId val="111457408"/>
      </c:lineChart>
      <c:catAx>
        <c:axId val="111443328"/>
        <c:scaling>
          <c:orientation val="minMax"/>
        </c:scaling>
        <c:axPos val="b"/>
        <c:numFmt formatCode="General" sourceLinked="1"/>
        <c:tickLblPos val="nextTo"/>
        <c:txPr>
          <a:bodyPr/>
          <a:lstStyle/>
          <a:p>
            <a:pPr>
              <a:defRPr lang="en-ZA"/>
            </a:pPr>
            <a:endParaRPr lang="en-US"/>
          </a:p>
        </c:txPr>
        <c:crossAx val="111457408"/>
        <c:crosses val="autoZero"/>
        <c:auto val="1"/>
        <c:lblAlgn val="ctr"/>
        <c:lblOffset val="100"/>
      </c:catAx>
      <c:valAx>
        <c:axId val="111457408"/>
        <c:scaling>
          <c:orientation val="minMax"/>
        </c:scaling>
        <c:axPos val="l"/>
        <c:numFmt formatCode="#,##0.00" sourceLinked="1"/>
        <c:tickLblPos val="nextTo"/>
        <c:txPr>
          <a:bodyPr/>
          <a:lstStyle/>
          <a:p>
            <a:pPr>
              <a:defRPr lang="en-ZA"/>
            </a:pPr>
            <a:endParaRPr lang="en-US"/>
          </a:p>
        </c:txPr>
        <c:crossAx val="111443328"/>
        <c:crosses val="autoZero"/>
        <c:crossBetween val="between"/>
      </c:valAx>
    </c:plotArea>
    <c:legend>
      <c:legendPos val="r"/>
      <c:layout>
        <c:manualLayout>
          <c:xMode val="edge"/>
          <c:yMode val="edge"/>
          <c:x val="0.13283623294020422"/>
          <c:y val="0.77689905261907188"/>
          <c:w val="0.51032923870312052"/>
          <c:h val="0.22278248106832085"/>
        </c:manualLayout>
      </c:layout>
      <c:txPr>
        <a:bodyPr/>
        <a:lstStyle/>
        <a:p>
          <a:pPr>
            <a:defRPr lang="en-ZA" sz="800"/>
          </a:pPr>
          <a:endParaRPr lang="en-US"/>
        </a:p>
      </c:txPr>
    </c:legend>
    <c:plotVisOnly val="1"/>
    <c:dispBlanksAs val="gap"/>
  </c:chart>
  <c:spPr>
    <a:solidFill>
      <a:schemeClr val="accent3">
        <a:lumMod val="40000"/>
        <a:lumOff val="60000"/>
      </a:schemeClr>
    </a:solidFill>
  </c:spPr>
  <c:externalData r:id="rId1"/>
  <c:userShapes r:id="rId2"/>
</c:chartSpace>
</file>

<file path=word/drawings/drawing1.xml><?xml version="1.0" encoding="utf-8"?>
<c:userShapes xmlns:c="http://schemas.openxmlformats.org/drawingml/2006/chart">
  <cdr:relSizeAnchor xmlns:cdr="http://schemas.openxmlformats.org/drawingml/2006/chartDrawing">
    <cdr:from>
      <cdr:x>0.09333</cdr:x>
      <cdr:y>0.02746</cdr:y>
    </cdr:from>
    <cdr:to>
      <cdr:x>0.31886</cdr:x>
      <cdr:y>0.09385</cdr:y>
    </cdr:to>
    <cdr:sp macro="" textlink="">
      <cdr:nvSpPr>
        <cdr:cNvPr id="2" name="TextBox 4"/>
        <cdr:cNvSpPr txBox="1"/>
      </cdr:nvSpPr>
      <cdr:spPr>
        <a:xfrm xmlns:a="http://schemas.openxmlformats.org/drawingml/2006/main">
          <a:off x="534778" y="95454"/>
          <a:ext cx="1292225" cy="230801"/>
        </a:xfrm>
        <a:prstGeom xmlns:a="http://schemas.openxmlformats.org/drawingml/2006/main" prst="rect">
          <a:avLst/>
        </a:prstGeom>
        <a:solidFill xmlns:a="http://schemas.openxmlformats.org/drawingml/2006/main">
          <a:srgbClr val="FFC000"/>
        </a:solidFill>
        <a:ln xmlns:a="http://schemas.openxmlformats.org/drawingml/2006/main" w="9525" cmpd="sng">
          <a:solidFill>
            <a:sysClr val="window" lastClr="FFFFFF">
              <a:shade val="50000"/>
            </a:sysClr>
          </a:solid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ctr"/>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algn="ctr"/>
          <a:r>
            <a:rPr lang="en-ZA" sz="900" b="1" u="sng">
              <a:solidFill>
                <a:sysClr val="windowText" lastClr="000000">
                  <a:lumMod val="95000"/>
                  <a:lumOff val="5000"/>
                </a:sysClr>
              </a:solidFill>
            </a:rPr>
            <a:t>YEAR ON YEAR GROWTH RATE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154</Words>
  <Characters>884</Characters>
  <Application>Microsoft Office Word</Application>
  <DocSecurity>0</DocSecurity>
  <Lines>7</Lines>
  <Paragraphs>2</Paragraphs>
  <ScaleCrop>false</ScaleCrop>
  <Company/>
  <LinksUpToDate>false</LinksUpToDate>
  <CharactersWithSpaces>1036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2014-02-27T17:21:00Z</dcterms:created>
  <dcterms:modified xsi:type="dcterms:W3CDTF">2014-02-27T17:31:00Z</dcterms:modified>
</cp:coreProperties>
</file>