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5F2B15" w:rsidP="00454BB1">
      <w:pPr>
        <w:jc w:val="center"/>
        <w:rPr>
          <w:rFonts w:ascii="Arial" w:hAnsi="Arial"/>
          <w:b/>
        </w:rPr>
      </w:pPr>
      <w:r>
        <w:rPr>
          <w:rFonts w:ascii="Arial" w:hAnsi="Arial"/>
          <w:b/>
        </w:rPr>
        <w:t>November</w:t>
      </w:r>
      <w:r w:rsidR="00161F9C">
        <w:rPr>
          <w:rFonts w:ascii="Arial" w:hAnsi="Arial"/>
          <w:b/>
        </w:rPr>
        <w:t xml:space="preserve"> </w:t>
      </w:r>
      <w:r w:rsidR="007F7630">
        <w:rPr>
          <w:rFonts w:ascii="Arial" w:hAnsi="Arial"/>
          <w:b/>
        </w:rPr>
        <w:t>2013</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5F2B15" w:rsidRDefault="005F2B15" w:rsidP="007F7630">
      <w:pPr>
        <w:spacing w:before="100" w:beforeAutospacing="1" w:after="100" w:afterAutospacing="1"/>
        <w:rPr>
          <w:rFonts w:ascii="Arial" w:hAnsi="Arial"/>
          <w:b/>
          <w:bCs/>
          <w:sz w:val="32"/>
        </w:rPr>
      </w:pPr>
      <w:r w:rsidRPr="005F2B15">
        <w:rPr>
          <w:rFonts w:ascii="Arial" w:hAnsi="Arial"/>
          <w:b/>
          <w:bCs/>
          <w:sz w:val="32"/>
        </w:rPr>
        <w:lastRenderedPageBreak/>
        <w:t>KwaZulu-Natal fixed investment shows strongest growth in more than year</w:t>
      </w:r>
    </w:p>
    <w:p w:rsidR="00C13014" w:rsidRPr="00A415E3" w:rsidRDefault="00A415E3" w:rsidP="007F7630">
      <w:pPr>
        <w:spacing w:before="100" w:beforeAutospacing="1" w:after="100" w:afterAutospacing="1"/>
        <w:rPr>
          <w:rFonts w:ascii="Arial" w:hAnsi="Arial"/>
          <w:b/>
          <w:bCs/>
          <w:sz w:val="32"/>
          <w:lang w:val="en-GB"/>
        </w:rPr>
      </w:pPr>
      <w:r w:rsidRPr="00A415E3">
        <w:rPr>
          <w:rFonts w:ascii="Arial" w:hAnsi="Arial"/>
          <w:b/>
          <w:bCs/>
          <w:sz w:val="32"/>
          <w:lang w:val="en-GB"/>
        </w:rPr>
        <w:br/>
      </w:r>
      <w:r w:rsidR="009123F8" w:rsidRPr="009123F8">
        <w:rPr>
          <w:rFonts w:ascii="Arial" w:hAnsi="Arial"/>
          <w:b/>
          <w:bCs/>
          <w:sz w:val="32"/>
          <w:lang w:val="en-ZA"/>
        </w:rPr>
        <w:t xml:space="preserve"> </w:t>
      </w:r>
      <w:r w:rsidR="005F2B15">
        <w:rPr>
          <w:noProof/>
          <w:lang w:val="en-ZA" w:eastAsia="en-ZA"/>
        </w:rPr>
        <w:drawing>
          <wp:inline distT="0" distB="0" distL="0" distR="0">
            <wp:extent cx="5943600" cy="3884295"/>
            <wp:effectExtent l="0" t="0" r="19050" b="2095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 xml:space="preserve">Fixed investment in KwaZulu-Natal grew at the strongest year-on-year pace in more than a year as investment in civil construction, machinery and ICT equipment picked up sharply.  The total investment index of the KwaZulu-Natal investment monitor, as compiled by Mike </w:t>
      </w:r>
      <w:proofErr w:type="spellStart"/>
      <w:r w:rsidRPr="005F2B15">
        <w:rPr>
          <w:rFonts w:ascii="Arial" w:eastAsia="Times New Roman" w:hAnsi="Arial"/>
          <w:color w:val="auto"/>
          <w:kern w:val="28"/>
          <w:szCs w:val="20"/>
          <w:lang w:val="en-GB" w:eastAsia="en-ZA"/>
        </w:rPr>
        <w:t>Schüssler</w:t>
      </w:r>
      <w:proofErr w:type="spellEnd"/>
      <w:r w:rsidRPr="005F2B15">
        <w:rPr>
          <w:rFonts w:ascii="Arial" w:eastAsia="Times New Roman" w:hAnsi="Arial"/>
          <w:color w:val="auto"/>
          <w:kern w:val="28"/>
          <w:szCs w:val="20"/>
          <w:lang w:val="en-GB" w:eastAsia="en-ZA"/>
        </w:rPr>
        <w:t xml:space="preserve"> of Economists.co.za, was up 10.8% year-on-year in November. On the shorter term, however, fixed investment did not perform as well after some investment categories had one or two difficult months in the three months through November, which affected the whole quarter. Compared with the previous quarter, the total investment index was down 0.1%, the first decline in 10 months.</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p>
    <w:p w:rsid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Machinery investment impresses</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color w:val="auto"/>
          <w:kern w:val="28"/>
          <w:szCs w:val="20"/>
          <w:lang w:val="en-GB" w:eastAsia="en-ZA"/>
        </w:rPr>
        <w:lastRenderedPageBreak/>
        <w:t>Investment in machinery was the biggest positive surprise in the investment monitor and grew 9.3% year-on-year, the strongest growth in 13 months.  Investment in locally manufactured machinery was up and despite the weak rand making imports of capital goods expensive, purchases of imported machinery also grew, showing that if the demand is strong enough, the price will not deter investors. Machinery for maintenance was one of the bigger drivers of growth in machinery investment.  The strong year-on-year growth in machinery will turn around at some point because investment in machinery has now been negative quarter-on-quarter for three consecutive months, and most recently by 7.8%.</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ICT equipment investment grew by double digits</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Investment in ICT equipment has been a major driver of fixed investment in KwaZulu-Natal over the last three years and grew 24% year-on-year according to the latest Investment Monitor. This was the strongest growth for all of 2013. Quarter-on-quarter investment in ICT equipment was up 7.5% after a 2.8% drop the month before. As with machinery, the weaker rand did not seem to deter investors from importing pricey ICT equipment. The launch of the iPhone 5 late in 2013 most likely contributed to the hype around ICT and led to more investment in the sector.</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Civil construction investment on the up</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The third big positive surprise in fixed investment came from civil construction, which was up 24.1% year-on-year, the fourth consecutive month of double-digit growth, and 4% quarter-on-quarter growth. Both imported civil construction material; and locally produced structural steel increased. The 22.8% increase in road works in KwaZulu-Natal also supported the investment category after road-work activity had a few slow months earlier in the year.</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Buildings investment shows decline</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 xml:space="preserve">Investment in buildings could unfortunately not mimic the strong performance of investment in civil construction and declined 4% year-on-year. Aside from a strong growth number of 17.3% in April, the year 2013 has not been good for buildings investment. The big loser was non-residential buildings, which declined by 46%, showing that the construction of commercial property like shopping centres have all but paused. Residential buildings were down only 3%, and lumber sales grew 9.9%, showing that some informal building is at least still taking place.  The number of RDP houses built grew by 20% on a year before, but this is based on government’s estimates at the start of the financial year. In April, when the financial year had ended, there should be a more accurate picture of the number of government houses built in KwaZulu-Natal. Investment in buildings grew 11.3% quarter-on-quarter. </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Transfers investment follows buildings investment’s lead</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lastRenderedPageBreak/>
        <w:t>As usual, investment in transfers performed fairly similar to investment in buildings and was down 3.2% year-on-year. Quarter-on-quarter transfers were down 0.2% after four months of growth. The data used in the sub-index for transfers was revised to include more house transactions which were not recorded in the index before, helping transfers to a better position, even though it was still negative. Despite the difficult time for consumers, houses are being sold across the country, although this may slow down or pause after the recent interest rate increase.</w:t>
      </w:r>
    </w:p>
    <w:p w:rsidR="005F2B15" w:rsidRPr="005F2B15" w:rsidRDefault="005F2B15" w:rsidP="005F2B15">
      <w:pPr>
        <w:spacing w:before="100" w:beforeAutospacing="1" w:after="100" w:afterAutospacing="1"/>
        <w:rPr>
          <w:rFonts w:ascii="Arial" w:eastAsia="Times New Roman" w:hAnsi="Arial"/>
          <w:b/>
          <w:color w:val="auto"/>
          <w:kern w:val="28"/>
          <w:szCs w:val="20"/>
          <w:lang w:val="en-GB" w:eastAsia="en-ZA"/>
        </w:rPr>
      </w:pPr>
      <w:r w:rsidRPr="005F2B15">
        <w:rPr>
          <w:rFonts w:ascii="Arial" w:eastAsia="Times New Roman" w:hAnsi="Arial"/>
          <w:b/>
          <w:color w:val="auto"/>
          <w:kern w:val="28"/>
          <w:szCs w:val="20"/>
          <w:lang w:val="en-GB" w:eastAsia="en-ZA"/>
        </w:rPr>
        <w:t>Transport equipment investment low, but hope in sight</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 xml:space="preserve">Investment in transport equipment in KwaZulu-Natal was the biggest loser in fixed investment and was down year-on-year for the third month in a row, this time by 6.9%. Land transport equipment, like trucks and </w:t>
      </w:r>
      <w:proofErr w:type="spellStart"/>
      <w:r w:rsidRPr="005F2B15">
        <w:rPr>
          <w:rFonts w:ascii="Arial" w:eastAsia="Times New Roman" w:hAnsi="Arial"/>
          <w:color w:val="auto"/>
          <w:kern w:val="28"/>
          <w:szCs w:val="20"/>
          <w:lang w:val="en-GB" w:eastAsia="en-ZA"/>
        </w:rPr>
        <w:t>bakkies</w:t>
      </w:r>
      <w:proofErr w:type="spellEnd"/>
      <w:r w:rsidRPr="005F2B15">
        <w:rPr>
          <w:rFonts w:ascii="Arial" w:eastAsia="Times New Roman" w:hAnsi="Arial"/>
          <w:color w:val="auto"/>
          <w:kern w:val="28"/>
          <w:szCs w:val="20"/>
          <w:lang w:val="en-GB" w:eastAsia="en-ZA"/>
        </w:rPr>
        <w:t>, grew 7.6% as many businesses needed an increased fleet to move goods around in November and December. Investment in sea and air transport equipment continued to fall and was down 31.6% on a year before. In this case, the weak exchange rate did actually play a role as it makes new aeroplanes very expensive. Companies like South African Airways and other smaller aeroplane businesses are finding it difficult to replace or expand their existing fleets. However, SAA is working on a plan to order 23 new wide-body planes by December to make its long-haul flights more profitable. As the ordering and delivery of aeroplanes takes a considerable time, the positive effect of these orders will not reflect in the transport index any time soon.</w:t>
      </w:r>
    </w:p>
    <w:p w:rsidR="005F2B15" w:rsidRPr="005F2B15" w:rsidRDefault="005F2B15" w:rsidP="005F2B15">
      <w:pPr>
        <w:spacing w:before="100" w:beforeAutospacing="1" w:after="100" w:afterAutospacing="1"/>
        <w:rPr>
          <w:rFonts w:ascii="Arial" w:eastAsia="Times New Roman" w:hAnsi="Arial"/>
          <w:color w:val="auto"/>
          <w:kern w:val="28"/>
          <w:szCs w:val="20"/>
          <w:lang w:val="en-GB" w:eastAsia="en-ZA"/>
        </w:rPr>
      </w:pPr>
    </w:p>
    <w:p w:rsidR="007F7630" w:rsidRPr="003F2D00" w:rsidRDefault="007F7630" w:rsidP="003F2D00">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bookmarkStart w:id="0" w:name="_GoBack"/>
      <w:bookmarkEnd w:id="0"/>
      <w:r w:rsidRPr="007F7630">
        <w:rPr>
          <w:rFonts w:ascii="Arial" w:hAnsi="Arial"/>
          <w:b/>
          <w:bCs/>
          <w:lang w:val="en-GB"/>
        </w:rPr>
        <w:t>Results Table</w:t>
      </w:r>
      <w:r>
        <w:rPr>
          <w:rFonts w:ascii="Arial" w:hAnsi="Arial"/>
          <w:b/>
          <w:bCs/>
          <w:lang w:val="en-GB"/>
        </w:rPr>
        <w:t>:</w:t>
      </w:r>
      <w:r w:rsidR="009123F8">
        <w:rPr>
          <w:rFonts w:ascii="Arial" w:hAnsi="Arial"/>
          <w:b/>
          <w:bCs/>
          <w:lang w:val="en-GB"/>
        </w:rPr>
        <w:t xml:space="preserve"> </w:t>
      </w:r>
      <w:r w:rsidR="005F2B15">
        <w:rPr>
          <w:rFonts w:ascii="Arial" w:hAnsi="Arial"/>
          <w:b/>
          <w:bCs/>
          <w:lang w:val="en-GB"/>
        </w:rPr>
        <w:t>November</w:t>
      </w:r>
      <w:r w:rsidR="00A415E3">
        <w:rPr>
          <w:rFonts w:ascii="Arial" w:hAnsi="Arial"/>
          <w:b/>
          <w:bCs/>
          <w:lang w:val="en-GB"/>
        </w:rPr>
        <w:t xml:space="preserve"> </w:t>
      </w:r>
      <w:r w:rsidR="005320CC">
        <w:rPr>
          <w:rFonts w:ascii="Arial" w:hAnsi="Arial"/>
          <w:b/>
          <w:bCs/>
          <w:lang w:val="en-GB"/>
        </w:rPr>
        <w:t>2013</w:t>
      </w:r>
    </w:p>
    <w:p w:rsidR="007F7630" w:rsidRDefault="005F2B15" w:rsidP="007F7630">
      <w:pPr>
        <w:spacing w:before="100" w:beforeAutospacing="1" w:after="100" w:afterAutospacing="1" w:line="240" w:lineRule="auto"/>
        <w:rPr>
          <w:rFonts w:ascii="Arial" w:hAnsi="Arial"/>
          <w:b/>
          <w:bCs/>
          <w:lang w:val="en-GB"/>
        </w:rPr>
      </w:pPr>
      <w:r w:rsidRPr="005F2B15">
        <w:rPr>
          <w:noProof/>
          <w:lang w:val="en-ZA" w:eastAsia="en-ZA"/>
        </w:rPr>
        <w:drawing>
          <wp:inline distT="0" distB="0" distL="0" distR="0">
            <wp:extent cx="5288280" cy="2072640"/>
            <wp:effectExtent l="0" t="0" r="762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p w:rsidR="007F7630" w:rsidRPr="007F7630" w:rsidRDefault="007F7630" w:rsidP="007F7630">
      <w:pPr>
        <w:spacing w:before="100" w:beforeAutospacing="1" w:after="100" w:afterAutospacing="1" w:line="240" w:lineRule="auto"/>
        <w:rPr>
          <w:rFonts w:ascii="Arial" w:hAnsi="Arial"/>
          <w:b/>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7F7630" w:rsidRPr="007F7630" w:rsidRDefault="007F7630" w:rsidP="007F7630">
      <w:pPr>
        <w:spacing w:before="100" w:beforeAutospacing="1" w:after="100" w:afterAutospacing="1" w:line="240" w:lineRule="auto"/>
        <w:rPr>
          <w:rFonts w:ascii="Arial" w:hAnsi="Arial"/>
          <w:bCs/>
          <w:lang w:val="en-GB"/>
        </w:rPr>
      </w:pPr>
    </w:p>
    <w:p w:rsidR="00454BB1" w:rsidRPr="00CD39B4" w:rsidRDefault="00454BB1" w:rsidP="007F7630">
      <w:pPr>
        <w:spacing w:before="100" w:beforeAutospacing="1" w:after="100" w:afterAutospacing="1" w:line="240" w:lineRule="auto"/>
        <w:rPr>
          <w:rFonts w:ascii="Arial" w:hAnsi="Arial"/>
        </w:rPr>
      </w:pPr>
    </w:p>
    <w:sectPr w:rsidR="00454BB1" w:rsidRPr="00CD39B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E05" w:rsidRDefault="00C72E05" w:rsidP="005A53F9">
      <w:pPr>
        <w:spacing w:line="240" w:lineRule="auto"/>
      </w:pPr>
      <w:r>
        <w:separator/>
      </w:r>
    </w:p>
  </w:endnote>
  <w:endnote w:type="continuationSeparator" w:id="0">
    <w:p w:rsidR="00C72E05" w:rsidRDefault="00C72E05"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E52E74">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8551F" w:rsidRPr="009A05FE" w:rsidRDefault="0078551F"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E05" w:rsidRDefault="00C72E05" w:rsidP="005A53F9">
      <w:pPr>
        <w:spacing w:line="240" w:lineRule="auto"/>
      </w:pPr>
      <w:r>
        <w:separator/>
      </w:r>
    </w:p>
  </w:footnote>
  <w:footnote w:type="continuationSeparator" w:id="0">
    <w:p w:rsidR="00C72E05" w:rsidRDefault="00C72E05"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007C6691">
      <w:rPr>
        <w:noProof/>
        <w:lang w:val="en-ZA" w:eastAsia="en-ZA"/>
      </w:rPr>
      <w:drawing>
        <wp:inline distT="0" distB="0" distL="0" distR="0">
          <wp:extent cx="2447925" cy="519954"/>
          <wp:effectExtent l="19050" t="0" r="952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447925" cy="519954"/>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A346C"/>
    <w:rsid w:val="000C27C2"/>
    <w:rsid w:val="000F6EDC"/>
    <w:rsid w:val="00104892"/>
    <w:rsid w:val="0012629B"/>
    <w:rsid w:val="0014110B"/>
    <w:rsid w:val="00161F9C"/>
    <w:rsid w:val="00184712"/>
    <w:rsid w:val="001E4052"/>
    <w:rsid w:val="0021035A"/>
    <w:rsid w:val="00266108"/>
    <w:rsid w:val="0029510E"/>
    <w:rsid w:val="002F340E"/>
    <w:rsid w:val="003B0BDF"/>
    <w:rsid w:val="003C1263"/>
    <w:rsid w:val="003D2C89"/>
    <w:rsid w:val="003E5E94"/>
    <w:rsid w:val="003F2D00"/>
    <w:rsid w:val="00416766"/>
    <w:rsid w:val="00451BA1"/>
    <w:rsid w:val="00454BB1"/>
    <w:rsid w:val="005320CC"/>
    <w:rsid w:val="0055432C"/>
    <w:rsid w:val="00560FC5"/>
    <w:rsid w:val="005A53F9"/>
    <w:rsid w:val="005E1A21"/>
    <w:rsid w:val="005F2B15"/>
    <w:rsid w:val="005F396D"/>
    <w:rsid w:val="00656738"/>
    <w:rsid w:val="00662636"/>
    <w:rsid w:val="00680206"/>
    <w:rsid w:val="00685C8D"/>
    <w:rsid w:val="0069663D"/>
    <w:rsid w:val="006A6E68"/>
    <w:rsid w:val="006C21FF"/>
    <w:rsid w:val="006C3022"/>
    <w:rsid w:val="006D1C90"/>
    <w:rsid w:val="00717F82"/>
    <w:rsid w:val="00726F5E"/>
    <w:rsid w:val="00756B58"/>
    <w:rsid w:val="007743C5"/>
    <w:rsid w:val="007746EC"/>
    <w:rsid w:val="0078551F"/>
    <w:rsid w:val="007B66FB"/>
    <w:rsid w:val="007C6691"/>
    <w:rsid w:val="007F7630"/>
    <w:rsid w:val="008118BF"/>
    <w:rsid w:val="00855F84"/>
    <w:rsid w:val="008734E5"/>
    <w:rsid w:val="00887C82"/>
    <w:rsid w:val="008C350E"/>
    <w:rsid w:val="008C38FE"/>
    <w:rsid w:val="009123F8"/>
    <w:rsid w:val="009321BA"/>
    <w:rsid w:val="00946625"/>
    <w:rsid w:val="00950B0E"/>
    <w:rsid w:val="009F4B73"/>
    <w:rsid w:val="00A31FFD"/>
    <w:rsid w:val="00A415E3"/>
    <w:rsid w:val="00A700CF"/>
    <w:rsid w:val="00A9007D"/>
    <w:rsid w:val="00B12C09"/>
    <w:rsid w:val="00B63885"/>
    <w:rsid w:val="00B705F6"/>
    <w:rsid w:val="00B72457"/>
    <w:rsid w:val="00BD3888"/>
    <w:rsid w:val="00C13014"/>
    <w:rsid w:val="00C17D4A"/>
    <w:rsid w:val="00C646B7"/>
    <w:rsid w:val="00C72E05"/>
    <w:rsid w:val="00C94F75"/>
    <w:rsid w:val="00CA46F5"/>
    <w:rsid w:val="00CC5AD1"/>
    <w:rsid w:val="00CD2455"/>
    <w:rsid w:val="00CD39B4"/>
    <w:rsid w:val="00D04DFB"/>
    <w:rsid w:val="00D05FA7"/>
    <w:rsid w:val="00D07179"/>
    <w:rsid w:val="00D177BD"/>
    <w:rsid w:val="00DA3DB3"/>
    <w:rsid w:val="00DE082C"/>
    <w:rsid w:val="00DE6D49"/>
    <w:rsid w:val="00E4336B"/>
    <w:rsid w:val="00E52E74"/>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ECOSVR01\Work%20Bin\Baro1\Consolidated%20File\Provinces\Kwa-Zulu%20Natal\Invesment%20Index%202010-11\KZN%20invesment%20monitor%20for%20%20Nov%20201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indices'!$A$75:$A$148</c:f>
              <c:numCache>
                <c:formatCode>mmm\-yy</c:formatCode>
                <c:ptCount val="74"/>
                <c:pt idx="0">
                  <c:v>39387</c:v>
                </c:pt>
                <c:pt idx="1">
                  <c:v>39417</c:v>
                </c:pt>
                <c:pt idx="2">
                  <c:v>39448</c:v>
                </c:pt>
                <c:pt idx="3">
                  <c:v>39479</c:v>
                </c:pt>
                <c:pt idx="4">
                  <c:v>39508</c:v>
                </c:pt>
                <c:pt idx="5">
                  <c:v>39539</c:v>
                </c:pt>
                <c:pt idx="6">
                  <c:v>39569</c:v>
                </c:pt>
                <c:pt idx="7">
                  <c:v>39600</c:v>
                </c:pt>
                <c:pt idx="8">
                  <c:v>39630</c:v>
                </c:pt>
                <c:pt idx="9">
                  <c:v>39661</c:v>
                </c:pt>
                <c:pt idx="10">
                  <c:v>39692</c:v>
                </c:pt>
                <c:pt idx="11">
                  <c:v>39722</c:v>
                </c:pt>
                <c:pt idx="12">
                  <c:v>39753</c:v>
                </c:pt>
                <c:pt idx="13">
                  <c:v>39783</c:v>
                </c:pt>
                <c:pt idx="14">
                  <c:v>39814</c:v>
                </c:pt>
                <c:pt idx="15">
                  <c:v>39845</c:v>
                </c:pt>
                <c:pt idx="16">
                  <c:v>39873</c:v>
                </c:pt>
                <c:pt idx="17">
                  <c:v>39904</c:v>
                </c:pt>
                <c:pt idx="18">
                  <c:v>39934</c:v>
                </c:pt>
                <c:pt idx="19">
                  <c:v>39965</c:v>
                </c:pt>
                <c:pt idx="20">
                  <c:v>39995</c:v>
                </c:pt>
                <c:pt idx="21">
                  <c:v>40026</c:v>
                </c:pt>
                <c:pt idx="22">
                  <c:v>40057</c:v>
                </c:pt>
                <c:pt idx="23">
                  <c:v>40087</c:v>
                </c:pt>
                <c:pt idx="24">
                  <c:v>40118</c:v>
                </c:pt>
                <c:pt idx="25">
                  <c:v>40148</c:v>
                </c:pt>
                <c:pt idx="26">
                  <c:v>40179</c:v>
                </c:pt>
                <c:pt idx="27">
                  <c:v>40210</c:v>
                </c:pt>
                <c:pt idx="28">
                  <c:v>40238</c:v>
                </c:pt>
                <c:pt idx="29">
                  <c:v>40269</c:v>
                </c:pt>
                <c:pt idx="30">
                  <c:v>40299</c:v>
                </c:pt>
                <c:pt idx="31">
                  <c:v>40330</c:v>
                </c:pt>
                <c:pt idx="32">
                  <c:v>40360</c:v>
                </c:pt>
                <c:pt idx="33">
                  <c:v>40391</c:v>
                </c:pt>
                <c:pt idx="34">
                  <c:v>40422</c:v>
                </c:pt>
                <c:pt idx="35">
                  <c:v>40452</c:v>
                </c:pt>
                <c:pt idx="36">
                  <c:v>40483</c:v>
                </c:pt>
                <c:pt idx="37">
                  <c:v>40513</c:v>
                </c:pt>
                <c:pt idx="38">
                  <c:v>40544</c:v>
                </c:pt>
                <c:pt idx="39">
                  <c:v>40575</c:v>
                </c:pt>
                <c:pt idx="40">
                  <c:v>40603</c:v>
                </c:pt>
                <c:pt idx="41">
                  <c:v>40634</c:v>
                </c:pt>
                <c:pt idx="42">
                  <c:v>40664</c:v>
                </c:pt>
                <c:pt idx="43">
                  <c:v>40695</c:v>
                </c:pt>
                <c:pt idx="44">
                  <c:v>40725</c:v>
                </c:pt>
                <c:pt idx="45">
                  <c:v>40756</c:v>
                </c:pt>
                <c:pt idx="46">
                  <c:v>40787</c:v>
                </c:pt>
                <c:pt idx="47">
                  <c:v>40817</c:v>
                </c:pt>
                <c:pt idx="48">
                  <c:v>40848</c:v>
                </c:pt>
                <c:pt idx="49">
                  <c:v>40878</c:v>
                </c:pt>
                <c:pt idx="50">
                  <c:v>40909</c:v>
                </c:pt>
                <c:pt idx="51">
                  <c:v>40940</c:v>
                </c:pt>
                <c:pt idx="52">
                  <c:v>40969</c:v>
                </c:pt>
                <c:pt idx="53">
                  <c:v>41000</c:v>
                </c:pt>
                <c:pt idx="54">
                  <c:v>41030</c:v>
                </c:pt>
                <c:pt idx="55">
                  <c:v>41061</c:v>
                </c:pt>
                <c:pt idx="56">
                  <c:v>41091</c:v>
                </c:pt>
                <c:pt idx="57">
                  <c:v>41122</c:v>
                </c:pt>
                <c:pt idx="58">
                  <c:v>41153</c:v>
                </c:pt>
                <c:pt idx="59">
                  <c:v>41183</c:v>
                </c:pt>
                <c:pt idx="60">
                  <c:v>41214</c:v>
                </c:pt>
                <c:pt idx="61">
                  <c:v>41244</c:v>
                </c:pt>
                <c:pt idx="62">
                  <c:v>41275</c:v>
                </c:pt>
                <c:pt idx="63">
                  <c:v>41306</c:v>
                </c:pt>
                <c:pt idx="64">
                  <c:v>41334</c:v>
                </c:pt>
                <c:pt idx="65">
                  <c:v>41365</c:v>
                </c:pt>
                <c:pt idx="66">
                  <c:v>41395</c:v>
                </c:pt>
                <c:pt idx="67">
                  <c:v>41426</c:v>
                </c:pt>
                <c:pt idx="68">
                  <c:v>41456</c:v>
                </c:pt>
                <c:pt idx="69">
                  <c:v>41487</c:v>
                </c:pt>
                <c:pt idx="70">
                  <c:v>41518</c:v>
                </c:pt>
                <c:pt idx="71">
                  <c:v>41548</c:v>
                </c:pt>
                <c:pt idx="72">
                  <c:v>41579</c:v>
                </c:pt>
              </c:numCache>
            </c:numRef>
          </c:cat>
          <c:val>
            <c:numRef>
              <c:f>'Sea adjusted indices'!$AQ$75:$AQ$148</c:f>
              <c:numCache>
                <c:formatCode>0.0</c:formatCode>
                <c:ptCount val="74"/>
                <c:pt idx="0">
                  <c:v>124.06861978203456</c:v>
                </c:pt>
                <c:pt idx="1">
                  <c:v>124.44508564263464</c:v>
                </c:pt>
                <c:pt idx="2">
                  <c:v>123.55410482647214</c:v>
                </c:pt>
                <c:pt idx="3">
                  <c:v>130.39916229690036</c:v>
                </c:pt>
                <c:pt idx="4">
                  <c:v>133.85987178535399</c:v>
                </c:pt>
                <c:pt idx="5">
                  <c:v>140.3146114629948</c:v>
                </c:pt>
                <c:pt idx="6">
                  <c:v>137.06629891822863</c:v>
                </c:pt>
                <c:pt idx="7">
                  <c:v>138.95405571973726</c:v>
                </c:pt>
                <c:pt idx="8">
                  <c:v>134.40279720135302</c:v>
                </c:pt>
                <c:pt idx="9">
                  <c:v>131.9620554432573</c:v>
                </c:pt>
                <c:pt idx="10">
                  <c:v>128.92963977775929</c:v>
                </c:pt>
                <c:pt idx="11">
                  <c:v>129.39371252634197</c:v>
                </c:pt>
                <c:pt idx="12">
                  <c:v>132.57417196978977</c:v>
                </c:pt>
                <c:pt idx="13">
                  <c:v>134.22408716596058</c:v>
                </c:pt>
                <c:pt idx="14">
                  <c:v>137.97694955272667</c:v>
                </c:pt>
                <c:pt idx="15">
                  <c:v>130.80160815072023</c:v>
                </c:pt>
                <c:pt idx="16">
                  <c:v>125.43001570133146</c:v>
                </c:pt>
                <c:pt idx="17">
                  <c:v>120.73943896695079</c:v>
                </c:pt>
                <c:pt idx="18">
                  <c:v>118.0128580797155</c:v>
                </c:pt>
                <c:pt idx="19">
                  <c:v>113.61669717503248</c:v>
                </c:pt>
                <c:pt idx="20">
                  <c:v>110.71887810299144</c:v>
                </c:pt>
                <c:pt idx="21">
                  <c:v>107.96176519974489</c:v>
                </c:pt>
                <c:pt idx="22">
                  <c:v>105.54865136225935</c:v>
                </c:pt>
                <c:pt idx="23">
                  <c:v>106.08518393659922</c:v>
                </c:pt>
                <c:pt idx="24">
                  <c:v>106.40565325996695</c:v>
                </c:pt>
                <c:pt idx="25">
                  <c:v>106.36019195135879</c:v>
                </c:pt>
                <c:pt idx="26">
                  <c:v>113.14565658702475</c:v>
                </c:pt>
                <c:pt idx="27">
                  <c:v>113.25889388699439</c:v>
                </c:pt>
                <c:pt idx="28">
                  <c:v>112.5814061472704</c:v>
                </c:pt>
                <c:pt idx="29">
                  <c:v>108.78756970525971</c:v>
                </c:pt>
                <c:pt idx="30">
                  <c:v>113.24613055131741</c:v>
                </c:pt>
                <c:pt idx="31">
                  <c:v>112.9147391340617</c:v>
                </c:pt>
                <c:pt idx="32">
                  <c:v>112.82262479674864</c:v>
                </c:pt>
                <c:pt idx="33">
                  <c:v>114.45337073832245</c:v>
                </c:pt>
                <c:pt idx="34">
                  <c:v>117.63304005859725</c:v>
                </c:pt>
                <c:pt idx="35">
                  <c:v>118.99448265587839</c:v>
                </c:pt>
                <c:pt idx="36">
                  <c:v>114.58964572187159</c:v>
                </c:pt>
                <c:pt idx="37">
                  <c:v>115.69565212837891</c:v>
                </c:pt>
                <c:pt idx="38">
                  <c:v>121.58965272742361</c:v>
                </c:pt>
                <c:pt idx="39">
                  <c:v>124.60560763490051</c:v>
                </c:pt>
                <c:pt idx="40">
                  <c:v>129.34439999599007</c:v>
                </c:pt>
                <c:pt idx="41">
                  <c:v>122.4595573120065</c:v>
                </c:pt>
                <c:pt idx="42">
                  <c:v>119.295820927273</c:v>
                </c:pt>
                <c:pt idx="43">
                  <c:v>111.84314619564749</c:v>
                </c:pt>
                <c:pt idx="44">
                  <c:v>114.02806150269096</c:v>
                </c:pt>
                <c:pt idx="45">
                  <c:v>116.29948205577311</c:v>
                </c:pt>
                <c:pt idx="46">
                  <c:v>123.50458619371194</c:v>
                </c:pt>
                <c:pt idx="47">
                  <c:v>127.56589606077884</c:v>
                </c:pt>
                <c:pt idx="48">
                  <c:v>132.77882520705484</c:v>
                </c:pt>
                <c:pt idx="49">
                  <c:v>133.16407894016908</c:v>
                </c:pt>
                <c:pt idx="50">
                  <c:v>140.51469268063599</c:v>
                </c:pt>
                <c:pt idx="51">
                  <c:v>135.42780980198549</c:v>
                </c:pt>
                <c:pt idx="52">
                  <c:v>129.7423664267078</c:v>
                </c:pt>
                <c:pt idx="53">
                  <c:v>133.61768222716185</c:v>
                </c:pt>
                <c:pt idx="54">
                  <c:v>139.74875123292827</c:v>
                </c:pt>
                <c:pt idx="55">
                  <c:v>143.03998133258381</c:v>
                </c:pt>
                <c:pt idx="56">
                  <c:v>144.72026856827117</c:v>
                </c:pt>
                <c:pt idx="57">
                  <c:v>139.42526324528339</c:v>
                </c:pt>
                <c:pt idx="58">
                  <c:v>140.41602758866836</c:v>
                </c:pt>
                <c:pt idx="59">
                  <c:v>140.69029650127374</c:v>
                </c:pt>
                <c:pt idx="60">
                  <c:v>136.88476073145301</c:v>
                </c:pt>
                <c:pt idx="61">
                  <c:v>131.1660421072126</c:v>
                </c:pt>
                <c:pt idx="62">
                  <c:v>135.49059710113221</c:v>
                </c:pt>
                <c:pt idx="63">
                  <c:v>139.1742800725213</c:v>
                </c:pt>
                <c:pt idx="64">
                  <c:v>140.26827628634865</c:v>
                </c:pt>
                <c:pt idx="65">
                  <c:v>140.61731564454601</c:v>
                </c:pt>
                <c:pt idx="66">
                  <c:v>141.82590072446283</c:v>
                </c:pt>
                <c:pt idx="67">
                  <c:v>144.11609632123097</c:v>
                </c:pt>
                <c:pt idx="68">
                  <c:v>150.31021875129827</c:v>
                </c:pt>
                <c:pt idx="69">
                  <c:v>151.79288144056102</c:v>
                </c:pt>
                <c:pt idx="70">
                  <c:v>155.12574431315738</c:v>
                </c:pt>
                <c:pt idx="71">
                  <c:v>151.25009659535837</c:v>
                </c:pt>
                <c:pt idx="72">
                  <c:v>151.62623116221999</c:v>
                </c:pt>
              </c:numCache>
            </c:numRef>
          </c:val>
        </c:ser>
        <c:marker val="1"/>
        <c:axId val="112183552"/>
        <c:axId val="112066560"/>
      </c:lineChart>
      <c:dateAx>
        <c:axId val="112183552"/>
        <c:scaling>
          <c:orientation val="minMax"/>
        </c:scaling>
        <c:axPos val="b"/>
        <c:numFmt formatCode="mmm\-yy" sourceLinked="1"/>
        <c:tickLblPos val="nextTo"/>
        <c:txPr>
          <a:bodyPr/>
          <a:lstStyle/>
          <a:p>
            <a:pPr>
              <a:defRPr sz="1200" b="1"/>
            </a:pPr>
            <a:endParaRPr lang="en-US"/>
          </a:p>
        </c:txPr>
        <c:crossAx val="112066560"/>
        <c:crosses val="autoZero"/>
        <c:auto val="1"/>
        <c:lblOffset val="100"/>
        <c:baseTimeUnit val="months"/>
      </c:dateAx>
      <c:valAx>
        <c:axId val="112066560"/>
        <c:scaling>
          <c:orientation val="minMax"/>
          <c:min val="100"/>
        </c:scaling>
        <c:axPos val="l"/>
        <c:majorGridlines/>
        <c:numFmt formatCode="0" sourceLinked="0"/>
        <c:tickLblPos val="nextTo"/>
        <c:txPr>
          <a:bodyPr/>
          <a:lstStyle/>
          <a:p>
            <a:pPr>
              <a:defRPr sz="1200" b="1"/>
            </a:pPr>
            <a:endParaRPr lang="en-US"/>
          </a:p>
        </c:txPr>
        <c:crossAx val="112183552"/>
        <c:crosses val="autoZero"/>
        <c:crossBetween val="between"/>
      </c:valAx>
      <c:spPr>
        <a:noFill/>
      </c:spPr>
    </c:plotArea>
    <c:legend>
      <c:legendPos val="t"/>
      <c:layout>
        <c:manualLayout>
          <c:xMode val="edge"/>
          <c:yMode val="edge"/>
          <c:x val="0.15556901541153517"/>
          <c:y val="9.0646223141366708E-2"/>
          <c:w val="0.52786307961504808"/>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7D396-FFFA-4EDA-B3E2-234315D3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780</Words>
  <Characters>4447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2014-02-16T16:53:00Z</dcterms:created>
  <dcterms:modified xsi:type="dcterms:W3CDTF">2014-02-16T16:53:00Z</dcterms:modified>
</cp:coreProperties>
</file>