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A700CF" w:rsidRDefault="00A700CF" w:rsidP="00454BB1"/>
    <w:p w:rsidR="005A53F9" w:rsidRDefault="005A53F9" w:rsidP="00454BB1">
      <w:pPr>
        <w:jc w:val="center"/>
        <w:rPr>
          <w:rFonts w:ascii="Arial" w:hAnsi="Arial"/>
          <w:b/>
          <w:sz w:val="28"/>
          <w:szCs w:val="28"/>
        </w:rPr>
      </w:pPr>
    </w:p>
    <w:p w:rsidR="005A53F9" w:rsidRDefault="005A53F9" w:rsidP="00454BB1">
      <w:pPr>
        <w:jc w:val="center"/>
        <w:rPr>
          <w:rFonts w:ascii="Arial" w:hAnsi="Arial"/>
          <w:b/>
          <w:sz w:val="28"/>
          <w:szCs w:val="28"/>
        </w:rPr>
      </w:pPr>
    </w:p>
    <w:p w:rsidR="00454BB1" w:rsidRPr="00454BB1" w:rsidRDefault="00454BB1" w:rsidP="00454BB1">
      <w:pPr>
        <w:jc w:val="center"/>
        <w:rPr>
          <w:rFonts w:ascii="Arial" w:hAnsi="Arial"/>
          <w:b/>
          <w:sz w:val="28"/>
          <w:szCs w:val="28"/>
        </w:rPr>
      </w:pPr>
      <w:r w:rsidRPr="00454BB1">
        <w:rPr>
          <w:rFonts w:ascii="Arial" w:hAnsi="Arial"/>
          <w:b/>
          <w:sz w:val="28"/>
          <w:szCs w:val="28"/>
        </w:rPr>
        <w:t xml:space="preserve">KwaZulu-Natal </w:t>
      </w:r>
      <w:r w:rsidR="00BD3888">
        <w:rPr>
          <w:rFonts w:ascii="Arial" w:hAnsi="Arial"/>
          <w:b/>
          <w:sz w:val="28"/>
          <w:szCs w:val="28"/>
        </w:rPr>
        <w:t>Investment</w:t>
      </w:r>
      <w:r w:rsidR="005F396D">
        <w:rPr>
          <w:rFonts w:ascii="Arial" w:hAnsi="Arial"/>
          <w:b/>
          <w:sz w:val="28"/>
          <w:szCs w:val="28"/>
        </w:rPr>
        <w:t xml:space="preserve"> </w:t>
      </w:r>
      <w:r w:rsidR="00BD3888">
        <w:rPr>
          <w:rFonts w:ascii="Arial" w:hAnsi="Arial"/>
          <w:b/>
          <w:sz w:val="28"/>
          <w:szCs w:val="28"/>
        </w:rPr>
        <w:t>Monitor</w:t>
      </w:r>
      <w:r w:rsidRPr="00454BB1">
        <w:rPr>
          <w:rFonts w:ascii="Arial" w:hAnsi="Arial"/>
          <w:b/>
          <w:sz w:val="28"/>
          <w:szCs w:val="28"/>
        </w:rPr>
        <w:t xml:space="preserve"> </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B80087" w:rsidP="00454BB1">
      <w:pPr>
        <w:jc w:val="center"/>
        <w:rPr>
          <w:rFonts w:ascii="Arial" w:hAnsi="Arial"/>
          <w:b/>
        </w:rPr>
      </w:pPr>
      <w:r>
        <w:rPr>
          <w:rFonts w:ascii="Arial" w:hAnsi="Arial"/>
          <w:b/>
        </w:rPr>
        <w:t>January</w:t>
      </w:r>
      <w:r w:rsidR="00161F9C">
        <w:rPr>
          <w:rFonts w:ascii="Arial" w:hAnsi="Arial"/>
          <w:b/>
        </w:rPr>
        <w:t xml:space="preserve"> </w:t>
      </w:r>
      <w:r w:rsidR="007F7630">
        <w:rPr>
          <w:rFonts w:ascii="Arial" w:hAnsi="Arial"/>
          <w:b/>
        </w:rPr>
        <w:t>201</w:t>
      </w:r>
      <w:r>
        <w:rPr>
          <w:rFonts w:ascii="Arial" w:hAnsi="Arial"/>
          <w:b/>
        </w:rPr>
        <w:t>4</w:t>
      </w:r>
    </w:p>
    <w:p w:rsidR="00454BB1" w:rsidRDefault="00454BB1" w:rsidP="00454BB1">
      <w:pPr>
        <w:jc w:val="center"/>
        <w:rPr>
          <w:rFonts w:ascii="Arial" w:hAnsi="Arial"/>
          <w:b/>
        </w:rPr>
      </w:pPr>
    </w:p>
    <w:p w:rsidR="005A53F9" w:rsidRDefault="005A53F9">
      <w:pPr>
        <w:rPr>
          <w:rFonts w:ascii="Arial" w:hAnsi="Arial"/>
        </w:rPr>
        <w:sectPr w:rsidR="005A53F9" w:rsidSect="00184712">
          <w:headerReference w:type="default" r:id="rId7"/>
          <w:footerReference w:type="default" r:id="rId8"/>
          <w:pgSz w:w="12240" w:h="15840"/>
          <w:pgMar w:top="3649" w:right="474" w:bottom="1440" w:left="426" w:header="2127" w:footer="2836" w:gutter="0"/>
          <w:cols w:space="708"/>
          <w:docGrid w:linePitch="360"/>
        </w:sectPr>
      </w:pPr>
      <w:r>
        <w:rPr>
          <w:rFonts w:ascii="Arial" w:hAnsi="Arial"/>
        </w:rPr>
        <w:br w:type="page"/>
      </w:r>
    </w:p>
    <w:p w:rsidR="00B80087" w:rsidRDefault="00B80087" w:rsidP="007F7630">
      <w:pPr>
        <w:spacing w:before="100" w:beforeAutospacing="1" w:after="100" w:afterAutospacing="1"/>
        <w:rPr>
          <w:rFonts w:ascii="Arial" w:hAnsi="Arial"/>
          <w:b/>
          <w:bCs/>
          <w:sz w:val="32"/>
          <w:lang w:val="en-GB"/>
        </w:rPr>
      </w:pPr>
      <w:r w:rsidRPr="00B80087">
        <w:rPr>
          <w:rFonts w:ascii="Arial" w:hAnsi="Arial"/>
          <w:b/>
          <w:bCs/>
          <w:sz w:val="32"/>
          <w:lang w:val="en-GB"/>
        </w:rPr>
        <w:lastRenderedPageBreak/>
        <w:t>Fixed investment in KwaZulu-Natal up after slow 2013</w:t>
      </w:r>
    </w:p>
    <w:p w:rsidR="00C976B4" w:rsidRDefault="00C976B4" w:rsidP="007F7630">
      <w:pPr>
        <w:spacing w:before="100" w:beforeAutospacing="1" w:after="100" w:afterAutospacing="1"/>
        <w:rPr>
          <w:rFonts w:ascii="Arial" w:hAnsi="Arial"/>
          <w:b/>
          <w:bCs/>
          <w:sz w:val="32"/>
          <w:lang w:val="en-GB"/>
        </w:rPr>
      </w:pPr>
      <w:r w:rsidRPr="00C976B4">
        <w:rPr>
          <w:rFonts w:ascii="Arial" w:hAnsi="Arial"/>
          <w:b/>
          <w:bCs/>
          <w:sz w:val="32"/>
        </w:rPr>
        <w:br/>
      </w:r>
      <w:r w:rsidR="00B80087">
        <w:rPr>
          <w:noProof/>
          <w:lang w:val="en-ZA" w:eastAsia="en-ZA"/>
        </w:rPr>
        <w:drawing>
          <wp:inline distT="0" distB="0" distL="0" distR="0">
            <wp:extent cx="5943600" cy="3890010"/>
            <wp:effectExtent l="0" t="0" r="19050" b="1524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13014" w:rsidRPr="00B80087" w:rsidRDefault="00C13014" w:rsidP="00B80087">
      <w:pPr>
        <w:spacing w:before="100" w:beforeAutospacing="1" w:after="100" w:afterAutospacing="1" w:line="240" w:lineRule="auto"/>
        <w:rPr>
          <w:rFonts w:ascii="Arial" w:eastAsia="Times New Roman" w:hAnsi="Arial"/>
          <w:color w:val="auto"/>
          <w:kern w:val="28"/>
          <w:szCs w:val="20"/>
          <w:lang w:val="en-GB" w:eastAsia="en-ZA"/>
        </w:rPr>
      </w:pPr>
    </w:p>
    <w:p w:rsidR="00B80087" w:rsidRPr="00B80087" w:rsidRDefault="005F2B15" w:rsidP="00B80087">
      <w:pPr>
        <w:spacing w:line="240" w:lineRule="auto"/>
        <w:rPr>
          <w:rFonts w:ascii="Arial" w:eastAsia="Times New Roman" w:hAnsi="Arial"/>
          <w:color w:val="auto"/>
          <w:kern w:val="28"/>
          <w:szCs w:val="20"/>
          <w:lang w:val="en-GB" w:eastAsia="en-ZA"/>
        </w:rPr>
      </w:pPr>
      <w:r w:rsidRPr="005F2B15">
        <w:rPr>
          <w:rFonts w:ascii="Arial" w:eastAsia="Times New Roman" w:hAnsi="Arial"/>
          <w:color w:val="auto"/>
          <w:kern w:val="28"/>
          <w:szCs w:val="20"/>
          <w:lang w:val="en-GB" w:eastAsia="en-ZA"/>
        </w:rPr>
        <w:t xml:space="preserve">Fixed </w:t>
      </w:r>
      <w:r w:rsidR="00B80087" w:rsidRPr="00B80087">
        <w:rPr>
          <w:rFonts w:ascii="Arial" w:eastAsia="Times New Roman" w:hAnsi="Arial"/>
          <w:color w:val="auto"/>
          <w:kern w:val="28"/>
          <w:szCs w:val="20"/>
          <w:lang w:val="en-GB" w:eastAsia="en-ZA"/>
        </w:rPr>
        <w:t>investment in KwaZulu-Natal is enjoying mixed fortunes as the weaker rand makes imports expensive, but export demand seems strong. The total investment index of the province’s fixed investment monitor, as compiled by Mike Sch</w:t>
      </w:r>
      <w:r w:rsidR="00B80087" w:rsidRPr="00B80087">
        <w:rPr>
          <w:rFonts w:ascii="Arial" w:eastAsia="Times New Roman" w:hAnsi="Arial"/>
          <w:color w:val="auto"/>
          <w:kern w:val="28"/>
          <w:szCs w:val="20"/>
          <w:lang w:val="en-GB" w:eastAsia="en-ZA"/>
        </w:rPr>
        <w:sym w:font="Times New Roman" w:char="00FC"/>
      </w:r>
      <w:r w:rsidR="00B80087" w:rsidRPr="00B80087">
        <w:rPr>
          <w:rFonts w:ascii="Arial" w:eastAsia="Times New Roman" w:hAnsi="Arial"/>
          <w:color w:val="auto"/>
          <w:kern w:val="28"/>
          <w:szCs w:val="20"/>
          <w:lang w:val="en-GB" w:eastAsia="en-ZA"/>
        </w:rPr>
        <w:t>ssler of Economists.co.za, grew 2.1% year-on-year and 4.9% quarter-on-quarter. While the January growth numbers for the longer and the shorter term were the best in more than a year, a year-on-year growth figure of 2.1% is not great for KwaZulu-Natal. Fixed investment may be doing better than it has for the whole of 2013, but during 2011 and 2012 investment often grew in double digits. 2013 was a particularly bad year for fixed investment in KwaZulu-Natal and that makes the January growth number seem positive.</w:t>
      </w:r>
    </w:p>
    <w:p w:rsidR="00B80087" w:rsidRPr="00B80087" w:rsidRDefault="00B80087" w:rsidP="00B80087">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B80087">
        <w:rPr>
          <w:rFonts w:ascii="Arial" w:eastAsia="Times New Roman" w:hAnsi="Arial"/>
          <w:color w:val="auto"/>
          <w:kern w:val="28"/>
          <w:szCs w:val="20"/>
          <w:lang w:val="en-GB" w:eastAsia="en-ZA"/>
        </w:rPr>
        <w:t xml:space="preserve"> </w:t>
      </w:r>
    </w:p>
    <w:p w:rsidR="00B80087" w:rsidRPr="00B80087" w:rsidRDefault="00B80087" w:rsidP="00B80087">
      <w:pPr>
        <w:widowControl w:val="0"/>
        <w:overflowPunct w:val="0"/>
        <w:autoSpaceDE w:val="0"/>
        <w:autoSpaceDN w:val="0"/>
        <w:adjustRightInd w:val="0"/>
        <w:spacing w:line="240" w:lineRule="auto"/>
        <w:jc w:val="left"/>
        <w:rPr>
          <w:rFonts w:ascii="Arial" w:eastAsia="Times New Roman" w:hAnsi="Arial"/>
          <w:b/>
          <w:color w:val="auto"/>
          <w:kern w:val="28"/>
          <w:szCs w:val="20"/>
          <w:lang w:val="en-GB" w:eastAsia="en-ZA"/>
        </w:rPr>
      </w:pPr>
      <w:r w:rsidRPr="00B80087">
        <w:rPr>
          <w:rFonts w:ascii="Arial" w:eastAsia="Times New Roman" w:hAnsi="Arial"/>
          <w:b/>
          <w:color w:val="auto"/>
          <w:kern w:val="28"/>
          <w:szCs w:val="20"/>
          <w:lang w:val="en-GB" w:eastAsia="en-ZA"/>
        </w:rPr>
        <w:t>Transport index declines</w:t>
      </w:r>
    </w:p>
    <w:p w:rsidR="00B80087" w:rsidRPr="00B80087" w:rsidRDefault="00B80087" w:rsidP="00B80087">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B80087">
        <w:rPr>
          <w:rFonts w:ascii="Arial" w:eastAsia="Times New Roman" w:hAnsi="Arial"/>
          <w:color w:val="auto"/>
          <w:kern w:val="28"/>
          <w:szCs w:val="20"/>
          <w:lang w:val="en-GB" w:eastAsia="en-ZA"/>
        </w:rPr>
        <w:t xml:space="preserve">One of the factors that held back investment growth in KwaZulu-Natal was the 11.9% year-on-year fall in the transport index. Quarter-on-quarter investment in transport equipment was down 4.6%, the first decline in seven months. The main reason behind the fall of investment in transport equipment was the continued fall in investment in air and sea transport equipment, which was down 46.7% from a year ago. This was the biggest decrease in 17 months and it is unlikely that the decline will get bigger than this. If it does, it will continue to pull down the whole investment index. </w:t>
      </w:r>
      <w:r w:rsidRPr="00B80087">
        <w:rPr>
          <w:rFonts w:ascii="Arial" w:eastAsia="Times New Roman" w:hAnsi="Arial"/>
          <w:color w:val="auto"/>
          <w:kern w:val="28"/>
          <w:szCs w:val="20"/>
          <w:lang w:val="en-GB" w:eastAsia="en-ZA"/>
        </w:rPr>
        <w:br/>
        <w:t>Investment in land transport equipment grew 6.4% and while the growth was good news, it slowed down compared to the previous two months, an indication that small businesses are still struggling and may be slowing down  their investment plans.</w:t>
      </w:r>
      <w:r w:rsidRPr="00B80087">
        <w:rPr>
          <w:rFonts w:ascii="Arial" w:eastAsia="Times New Roman" w:hAnsi="Arial"/>
          <w:color w:val="auto"/>
          <w:kern w:val="28"/>
          <w:szCs w:val="20"/>
          <w:lang w:val="en-GB" w:eastAsia="en-ZA"/>
        </w:rPr>
        <w:br/>
      </w:r>
      <w:r w:rsidRPr="00B80087">
        <w:rPr>
          <w:rFonts w:ascii="Arial" w:eastAsia="Times New Roman" w:hAnsi="Arial"/>
          <w:color w:val="auto"/>
          <w:kern w:val="28"/>
          <w:szCs w:val="20"/>
          <w:lang w:val="en-GB" w:eastAsia="en-ZA"/>
        </w:rPr>
        <w:lastRenderedPageBreak/>
        <w:br/>
      </w:r>
      <w:r w:rsidRPr="00B80087">
        <w:rPr>
          <w:rFonts w:ascii="Arial" w:eastAsia="Times New Roman" w:hAnsi="Arial"/>
          <w:b/>
          <w:color w:val="auto"/>
          <w:kern w:val="28"/>
          <w:szCs w:val="20"/>
          <w:lang w:val="en-GB" w:eastAsia="en-ZA"/>
        </w:rPr>
        <w:t>Buildings investment on a slippery slope</w:t>
      </w:r>
    </w:p>
    <w:p w:rsidR="00B80087" w:rsidRPr="00B80087" w:rsidRDefault="00B80087" w:rsidP="00B80087">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B80087">
        <w:rPr>
          <w:rFonts w:ascii="Arial" w:eastAsia="Times New Roman" w:hAnsi="Arial"/>
          <w:color w:val="auto"/>
          <w:kern w:val="28"/>
          <w:szCs w:val="20"/>
          <w:lang w:val="en-GB" w:eastAsia="en-ZA"/>
        </w:rPr>
        <w:t>Investment in buildings in KwaZulu-Natal is still very volatile and fell 3.6% year-on-year, literally going up one month and down the next. Quarter-on-quarter buildings investment was down 7.7%.</w:t>
      </w:r>
      <w:r w:rsidRPr="00B80087">
        <w:rPr>
          <w:rFonts w:ascii="Arial" w:eastAsia="Times New Roman" w:hAnsi="Arial"/>
          <w:color w:val="auto"/>
          <w:kern w:val="28"/>
          <w:szCs w:val="20"/>
          <w:lang w:val="en-GB" w:eastAsia="en-ZA"/>
        </w:rPr>
        <w:br/>
        <w:t>The main reason behind the fall in buildings investment was that residential buildings were down 16%, not surprising given the difficult consumer environment, which affects demand for new houses. Although the interest rate increase was only at the end of January, the expectations of a rate hike helped to dampen the buildings industry.</w:t>
      </w:r>
      <w:r w:rsidRPr="00B80087">
        <w:rPr>
          <w:rFonts w:ascii="Arial" w:eastAsia="Times New Roman" w:hAnsi="Arial"/>
          <w:color w:val="auto"/>
          <w:kern w:val="28"/>
          <w:szCs w:val="20"/>
          <w:lang w:val="en-GB" w:eastAsia="en-ZA"/>
        </w:rPr>
        <w:br/>
        <w:t>Lumber sales grew 3.8%, which indicated there is still some informal building activity happening, albeit quite small.</w:t>
      </w:r>
      <w:r w:rsidRPr="00B80087">
        <w:rPr>
          <w:rFonts w:ascii="Arial" w:eastAsia="Times New Roman" w:hAnsi="Arial"/>
          <w:color w:val="auto"/>
          <w:kern w:val="28"/>
          <w:szCs w:val="20"/>
          <w:lang w:val="en-GB" w:eastAsia="en-ZA"/>
        </w:rPr>
        <w:br/>
        <w:t>While the numbers of RDP houses built seems not to have grown at all, this should change and probably show an uptick when new government data is added to the index in April.</w:t>
      </w:r>
      <w:r w:rsidRPr="00B80087">
        <w:rPr>
          <w:rFonts w:ascii="Arial" w:eastAsia="Times New Roman" w:hAnsi="Arial"/>
          <w:color w:val="auto"/>
          <w:kern w:val="28"/>
          <w:szCs w:val="20"/>
          <w:lang w:val="en-GB" w:eastAsia="en-ZA"/>
        </w:rPr>
        <w:br/>
      </w:r>
      <w:r w:rsidRPr="00B80087">
        <w:rPr>
          <w:rFonts w:ascii="Arial" w:eastAsia="Times New Roman" w:hAnsi="Arial"/>
          <w:color w:val="auto"/>
          <w:kern w:val="28"/>
          <w:szCs w:val="20"/>
          <w:lang w:val="en-GB" w:eastAsia="en-ZA"/>
        </w:rPr>
        <w:br/>
      </w:r>
      <w:r w:rsidRPr="00B80087">
        <w:rPr>
          <w:rFonts w:ascii="Arial" w:eastAsia="Times New Roman" w:hAnsi="Arial"/>
          <w:b/>
          <w:color w:val="auto"/>
          <w:kern w:val="28"/>
          <w:szCs w:val="20"/>
          <w:lang w:val="en-GB" w:eastAsia="en-ZA"/>
        </w:rPr>
        <w:t>Transfers investment decreases</w:t>
      </w:r>
    </w:p>
    <w:p w:rsidR="00B80087" w:rsidRPr="00B80087" w:rsidRDefault="00B80087" w:rsidP="00B80087">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B80087">
        <w:rPr>
          <w:rFonts w:ascii="Arial" w:eastAsia="Times New Roman" w:hAnsi="Arial"/>
          <w:color w:val="auto"/>
          <w:kern w:val="28"/>
          <w:szCs w:val="20"/>
          <w:lang w:val="en-GB" w:eastAsia="en-ZA"/>
        </w:rPr>
        <w:t>Transfers fell 3.5% year-on-year and 1.7% quarter-on-quarter, not a surprising move given how the building sector is still struggling. The January fall was more than double December’s 1.1% decrease, probably due to the increase in inflation in January, which affected property investment. Transfers will struggle to recover in coming months, given the interest rate increase in February and the general tighter conditions in the property market due to the expectation of further rate increases.</w:t>
      </w:r>
      <w:r w:rsidRPr="00B80087">
        <w:rPr>
          <w:rFonts w:ascii="Arial" w:eastAsia="Times New Roman" w:hAnsi="Arial"/>
          <w:color w:val="auto"/>
          <w:kern w:val="28"/>
          <w:szCs w:val="20"/>
          <w:lang w:val="en-GB" w:eastAsia="en-ZA"/>
        </w:rPr>
        <w:br/>
      </w:r>
      <w:r w:rsidRPr="00B80087">
        <w:rPr>
          <w:rFonts w:ascii="Arial" w:eastAsia="Times New Roman" w:hAnsi="Arial"/>
          <w:color w:val="auto"/>
          <w:kern w:val="28"/>
          <w:szCs w:val="20"/>
          <w:lang w:val="en-GB" w:eastAsia="en-ZA"/>
        </w:rPr>
        <w:br/>
      </w:r>
      <w:r w:rsidRPr="00B80087">
        <w:rPr>
          <w:rFonts w:ascii="Arial" w:eastAsia="Times New Roman" w:hAnsi="Arial"/>
          <w:b/>
          <w:color w:val="auto"/>
          <w:kern w:val="28"/>
          <w:szCs w:val="20"/>
          <w:lang w:val="en-GB" w:eastAsia="en-ZA"/>
        </w:rPr>
        <w:t>Civil construction growth still strong</w:t>
      </w:r>
    </w:p>
    <w:p w:rsidR="00B80087" w:rsidRPr="00B80087" w:rsidRDefault="00B80087" w:rsidP="00B80087">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B80087">
        <w:rPr>
          <w:rFonts w:ascii="Arial" w:eastAsia="Times New Roman" w:hAnsi="Arial"/>
          <w:color w:val="auto"/>
          <w:kern w:val="28"/>
          <w:szCs w:val="20"/>
          <w:lang w:val="en-GB" w:eastAsia="en-ZA"/>
        </w:rPr>
        <w:t>Civil construction in KwaZulu-Natal still did very well, especially when compared with the performance of other buildings projects. Investment in civil construction grew 14.5% year-on-year, the fifth consecutive month of double-digit growth. Quarter-on-quarter the investment category grew 5.4%.</w:t>
      </w:r>
      <w:r w:rsidRPr="00B80087">
        <w:rPr>
          <w:rFonts w:ascii="Arial" w:eastAsia="Times New Roman" w:hAnsi="Arial"/>
          <w:color w:val="auto"/>
          <w:kern w:val="28"/>
          <w:szCs w:val="20"/>
          <w:lang w:val="en-GB" w:eastAsia="en-ZA"/>
        </w:rPr>
        <w:br/>
        <w:t>The production of structural steel grew 1.3%, most likely because of a surge in demand from China, after being in decline for most of 2013. The recent bad growth projection for China could mean a slowdown in demand in coming months. Imports of civil construction material grew, despite the weak rand, showing that some construction projects are continuing despite the difficult environment. Road works in KwaZulu-Natal grew 41.7%, the best growth in six months, helping to boost the overall investment in civil construction.</w:t>
      </w:r>
      <w:r w:rsidRPr="00B80087">
        <w:rPr>
          <w:rFonts w:ascii="Arial" w:eastAsia="Times New Roman" w:hAnsi="Arial"/>
          <w:color w:val="auto"/>
          <w:kern w:val="28"/>
          <w:szCs w:val="20"/>
          <w:lang w:val="en-GB" w:eastAsia="en-ZA"/>
        </w:rPr>
        <w:br/>
      </w:r>
      <w:r w:rsidRPr="00B80087">
        <w:rPr>
          <w:rFonts w:ascii="Arial" w:eastAsia="Times New Roman" w:hAnsi="Arial"/>
          <w:b/>
          <w:color w:val="auto"/>
          <w:kern w:val="28"/>
          <w:szCs w:val="20"/>
          <w:lang w:val="en-GB" w:eastAsia="en-ZA"/>
        </w:rPr>
        <w:br/>
        <w:t>ICT equipment boosts index</w:t>
      </w:r>
    </w:p>
    <w:p w:rsidR="00B80087" w:rsidRPr="00B80087" w:rsidRDefault="00B80087" w:rsidP="00B80087">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B80087">
        <w:rPr>
          <w:rFonts w:ascii="Arial" w:eastAsia="Times New Roman" w:hAnsi="Arial"/>
          <w:color w:val="auto"/>
          <w:kern w:val="28"/>
          <w:szCs w:val="20"/>
          <w:lang w:val="en-GB" w:eastAsia="en-ZA"/>
        </w:rPr>
        <w:t>Investment in ICT equipment was a big driver of the growth on the total investment index and was up 28.5% year-on-year, and 44.1% quarter-on-quarter, the highest quarter-on-quarter growth in more than 10 years. There are very few reports or publications available on ICT in South Africa, making it difficult to determine what exactly was imported. Anecdotal evidence suggests a lot of the growth was driven by mobile devices, specifically iPads and tablets. Businesses import these as an investment in their ICT system, which in turn drives up total investment in KwaZulu-Natal.</w:t>
      </w:r>
      <w:r w:rsidRPr="00B80087">
        <w:rPr>
          <w:rFonts w:ascii="Arial" w:eastAsia="Times New Roman" w:hAnsi="Arial"/>
          <w:color w:val="auto"/>
          <w:kern w:val="28"/>
          <w:szCs w:val="20"/>
          <w:lang w:val="en-GB" w:eastAsia="en-ZA"/>
        </w:rPr>
        <w:br/>
      </w:r>
      <w:r w:rsidRPr="00B80087">
        <w:rPr>
          <w:rFonts w:ascii="Arial" w:eastAsia="Times New Roman" w:hAnsi="Arial"/>
          <w:color w:val="auto"/>
          <w:kern w:val="28"/>
          <w:szCs w:val="20"/>
          <w:lang w:val="en-GB" w:eastAsia="en-ZA"/>
        </w:rPr>
        <w:br/>
      </w:r>
      <w:r w:rsidRPr="00B80087">
        <w:rPr>
          <w:rFonts w:ascii="Arial" w:eastAsia="Times New Roman" w:hAnsi="Arial"/>
          <w:b/>
          <w:color w:val="auto"/>
          <w:kern w:val="28"/>
          <w:szCs w:val="20"/>
          <w:lang w:val="en-GB" w:eastAsia="en-ZA"/>
        </w:rPr>
        <w:t>Machinery investment looking up</w:t>
      </w:r>
    </w:p>
    <w:p w:rsidR="007F7630" w:rsidRPr="00B80087" w:rsidRDefault="00B80087" w:rsidP="003F2D00">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B80087">
        <w:rPr>
          <w:rFonts w:ascii="Arial" w:eastAsia="Times New Roman" w:hAnsi="Arial"/>
          <w:color w:val="auto"/>
          <w:kern w:val="28"/>
          <w:szCs w:val="20"/>
          <w:lang w:val="en-GB" w:eastAsia="en-ZA"/>
        </w:rPr>
        <w:t>Machinery investment in KwaZulu-Natal seems to have a much better January than in the preceding seven months. Although investment still declined by 2.2%, it was the smallest year-on-year decline in nine months. Quarter-on-quarter machinery grew 7.04%, the first growth in seven months. While some of the better news for machinery was due to an adjustment in the source data of the index, the quarter-on-quarter growth could also be linked to the 44.1% growth in ICT equipment in the quarter. Businesses are not importing that much machinery because of the weak rand, but the small year-on-year decline shows the bad news is indeed a little less than before.</w:t>
      </w:r>
      <w:r w:rsidRPr="00B80087">
        <w:rPr>
          <w:rFonts w:ascii="Arial" w:eastAsia="Times New Roman" w:hAnsi="Arial"/>
          <w:color w:val="auto"/>
          <w:kern w:val="28"/>
          <w:szCs w:val="20"/>
          <w:lang w:val="en-GB" w:eastAsia="en-ZA"/>
        </w:rPr>
        <w:br/>
      </w:r>
      <w:r w:rsidRPr="00B80087">
        <w:rPr>
          <w:rFonts w:ascii="Arial" w:eastAsia="Times New Roman" w:hAnsi="Arial"/>
          <w:color w:val="auto"/>
          <w:kern w:val="28"/>
          <w:szCs w:val="20"/>
          <w:lang w:val="en-GB" w:eastAsia="en-ZA"/>
        </w:rPr>
        <w:br/>
      </w:r>
      <w:bookmarkStart w:id="0" w:name="_GoBack"/>
      <w:bookmarkEnd w:id="0"/>
      <w:r w:rsidRPr="00B80087">
        <w:rPr>
          <w:rFonts w:ascii="Arial" w:eastAsia="Times New Roman" w:hAnsi="Arial"/>
          <w:color w:val="auto"/>
          <w:kern w:val="28"/>
          <w:szCs w:val="20"/>
          <w:lang w:val="en-GB" w:eastAsia="en-ZA"/>
        </w:rPr>
        <w:br/>
      </w:r>
      <w:r w:rsidR="007F7630" w:rsidRPr="007F7630">
        <w:rPr>
          <w:rFonts w:ascii="Arial" w:hAnsi="Arial"/>
          <w:b/>
          <w:bCs/>
          <w:lang w:val="en-GB"/>
        </w:rPr>
        <w:t>Results Table</w:t>
      </w:r>
      <w:r w:rsidR="007F7630">
        <w:rPr>
          <w:rFonts w:ascii="Arial" w:hAnsi="Arial"/>
          <w:b/>
          <w:bCs/>
          <w:lang w:val="en-GB"/>
        </w:rPr>
        <w:t>:</w:t>
      </w:r>
      <w:r w:rsidR="009123F8">
        <w:rPr>
          <w:rFonts w:ascii="Arial" w:hAnsi="Arial"/>
          <w:b/>
          <w:bCs/>
          <w:lang w:val="en-GB"/>
        </w:rPr>
        <w:t xml:space="preserve"> </w:t>
      </w:r>
      <w:r>
        <w:rPr>
          <w:rFonts w:ascii="Arial" w:hAnsi="Arial"/>
          <w:b/>
          <w:bCs/>
          <w:lang w:val="en-GB"/>
        </w:rPr>
        <w:t>January 2014</w:t>
      </w:r>
    </w:p>
    <w:p w:rsidR="00C976B4" w:rsidRPr="003F2D00" w:rsidRDefault="00C976B4" w:rsidP="003F2D00">
      <w:pPr>
        <w:widowControl w:val="0"/>
        <w:overflowPunct w:val="0"/>
        <w:autoSpaceDE w:val="0"/>
        <w:autoSpaceDN w:val="0"/>
        <w:adjustRightInd w:val="0"/>
        <w:spacing w:line="240" w:lineRule="auto"/>
        <w:jc w:val="left"/>
        <w:rPr>
          <w:rFonts w:ascii="Arial" w:eastAsia="Times New Roman" w:hAnsi="Arial"/>
          <w:color w:val="auto"/>
          <w:kern w:val="28"/>
          <w:szCs w:val="20"/>
          <w:lang w:eastAsia="en-ZA"/>
        </w:rPr>
      </w:pPr>
    </w:p>
    <w:p w:rsidR="007F7630" w:rsidRPr="007F7630" w:rsidRDefault="00B80087" w:rsidP="007F7630">
      <w:pPr>
        <w:spacing w:before="100" w:beforeAutospacing="1" w:after="100" w:afterAutospacing="1" w:line="240" w:lineRule="auto"/>
        <w:rPr>
          <w:rFonts w:ascii="Arial" w:hAnsi="Arial"/>
          <w:bCs/>
          <w:lang w:val="en-GB"/>
        </w:rPr>
      </w:pPr>
      <w:r w:rsidRPr="00B80087">
        <w:rPr>
          <w:noProof/>
          <w:lang w:val="en-ZA" w:eastAsia="en-ZA"/>
        </w:rPr>
        <w:lastRenderedPageBreak/>
        <w:drawing>
          <wp:inline distT="0" distB="0" distL="0" distR="0">
            <wp:extent cx="5288280" cy="2072640"/>
            <wp:effectExtent l="0" t="0" r="762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88280" cy="2072640"/>
                    </a:xfrm>
                    <a:prstGeom prst="rect">
                      <a:avLst/>
                    </a:prstGeom>
                    <a:noFill/>
                    <a:ln>
                      <a:noFill/>
                    </a:ln>
                  </pic:spPr>
                </pic:pic>
              </a:graphicData>
            </a:graphic>
          </wp:inline>
        </w:drawing>
      </w:r>
    </w:p>
    <w:p w:rsidR="00454BB1" w:rsidRPr="00CD39B4" w:rsidRDefault="00454BB1" w:rsidP="007F7630">
      <w:pPr>
        <w:spacing w:before="100" w:beforeAutospacing="1" w:after="100" w:afterAutospacing="1" w:line="240" w:lineRule="auto"/>
        <w:rPr>
          <w:rFonts w:ascii="Arial" w:hAnsi="Arial"/>
        </w:rPr>
      </w:pPr>
    </w:p>
    <w:sectPr w:rsidR="00454BB1" w:rsidRPr="00CD39B4" w:rsidSect="003B0BDF">
      <w:headerReference w:type="default" r:id="rId11"/>
      <w:footerReference w:type="default" r:id="rId12"/>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4364" w:rsidRDefault="00814364" w:rsidP="005A53F9">
      <w:pPr>
        <w:spacing w:line="240" w:lineRule="auto"/>
      </w:pPr>
      <w:r>
        <w:separator/>
      </w:r>
    </w:p>
  </w:endnote>
  <w:endnote w:type="continuationSeparator" w:id="0">
    <w:p w:rsidR="00814364" w:rsidRDefault="00814364"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254205">
    <w:pPr>
      <w:pStyle w:val="Footer"/>
    </w:pP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8551F" w:rsidRPr="009A05FE" w:rsidRDefault="0078551F"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680206" w:rsidRDefault="00680206" w:rsidP="003D2C89">
                <w:pPr>
                  <w:spacing w:line="240" w:lineRule="auto"/>
                  <w:jc w:val="left"/>
                  <w:rPr>
                    <w:rFonts w:eastAsia="Times New Roman" w:cs="Tahoma"/>
                    <w:color w:val="auto"/>
                    <w:sz w:val="16"/>
                    <w:szCs w:val="16"/>
                  </w:rPr>
                </w:pPr>
              </w:p>
              <w:p w:rsidR="00680206" w:rsidRPr="009A05FE" w:rsidRDefault="00680206"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680206" w:rsidRDefault="00680206"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8551F" w:rsidRPr="009A05FE" w:rsidRDefault="0078551F"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8551F" w:rsidRPr="009A05FE" w:rsidRDefault="0078551F" w:rsidP="00680206">
                <w:pPr>
                  <w:spacing w:line="240" w:lineRule="auto"/>
                  <w:rPr>
                    <w:color w:val="auto"/>
                    <w:sz w:val="16"/>
                    <w:szCs w:val="16"/>
                  </w:rPr>
                </w:pPr>
                <w:r w:rsidRPr="009A05FE">
                  <w:rPr>
                    <w:color w:val="auto"/>
                    <w:sz w:val="16"/>
                    <w:szCs w:val="16"/>
                  </w:rPr>
                  <w:t>Tel: +27 33 264 2500</w:t>
                </w:r>
              </w:p>
              <w:p w:rsidR="0078551F" w:rsidRPr="009A05FE" w:rsidRDefault="0078551F"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HG576mD&#10;AgAAFgUAAA4AAAAAAAAAAAAAAAAALgIAAGRycy9lMm9Eb2MueG1sUEsBAi0AFAAGAAgAAAAhADz3&#10;zBXcAAAACQEAAA8AAAAAAAAAAAAAAAAA3QQAAGRycy9kb3ducmV2LnhtbFBLBQYAAAAABAAEAPMA&#10;AADmBQAAAAA=&#10;" stroked="f">
          <v:textbox>
            <w:txbxContent>
              <w:p w:rsidR="0078551F" w:rsidRPr="009A05FE" w:rsidRDefault="0078551F"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8551F" w:rsidRPr="009A05FE" w:rsidRDefault="0078551F"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4364" w:rsidRDefault="00814364" w:rsidP="005A53F9">
      <w:pPr>
        <w:spacing w:line="240" w:lineRule="auto"/>
      </w:pPr>
      <w:r>
        <w:separator/>
      </w:r>
    </w:p>
  </w:footnote>
  <w:footnote w:type="continuationSeparator" w:id="0">
    <w:p w:rsidR="00814364" w:rsidRDefault="00814364"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rsidRPr="005A53F9">
      <w:rPr>
        <w:noProof/>
        <w:lang w:val="en-ZA" w:eastAsia="en-ZA"/>
      </w:rPr>
      <w:drawing>
        <wp:inline distT="0" distB="0" distL="0" distR="0">
          <wp:extent cx="2162175" cy="771525"/>
          <wp:effectExtent l="19050" t="0" r="9525" b="0"/>
          <wp:docPr id="4" name="Picture 2" descr="Corre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LOGO"/>
                  <pic:cNvPicPr>
                    <a:picLocks noChangeAspect="1" noChangeArrowheads="1"/>
                  </pic:cNvPicPr>
                </pic:nvPicPr>
                <pic:blipFill>
                  <a:blip r:embed="rId1" cstate="print"/>
                  <a:srcRect/>
                  <a:stretch>
                    <a:fillRect/>
                  </a:stretch>
                </pic:blipFill>
                <pic:spPr bwMode="auto">
                  <a:xfrm>
                    <a:off x="0" y="0"/>
                    <a:ext cx="2162175" cy="77152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1240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124075" cy="676275"/>
                  </a:xfrm>
                  <a:prstGeom prst="rect">
                    <a:avLst/>
                  </a:prstGeom>
                  <a:noFill/>
                  <a:ln w="9525">
                    <a:noFill/>
                    <a:miter lim="800000"/>
                    <a:headEnd/>
                    <a:tailEnd/>
                  </a:ln>
                </pic:spPr>
              </pic:pic>
            </a:graphicData>
          </a:graphic>
        </wp:inline>
      </w:drawing>
    </w:r>
    <w:r>
      <w:t xml:space="preserve">  </w:t>
    </w:r>
    <w:r w:rsidR="007C6691">
      <w:rPr>
        <w:noProof/>
        <w:lang w:val="en-ZA" w:eastAsia="en-ZA"/>
      </w:rPr>
      <w:drawing>
        <wp:inline distT="0" distB="0" distL="0" distR="0">
          <wp:extent cx="2447925" cy="519954"/>
          <wp:effectExtent l="19050" t="0" r="9525" b="0"/>
          <wp:docPr id="1" name="Picture 1" descr="C:\Users\FellengM\AppData\Local\Microsoft\Windows\Temporary Internet Files\Content.Outlook\ZR7AGXUJ\tikzn logo July 2012_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llengM\AppData\Local\Microsoft\Windows\Temporary Internet Files\Content.Outlook\ZR7AGXUJ\tikzn logo July 2012_ .jpg"/>
                  <pic:cNvPicPr>
                    <a:picLocks noChangeAspect="1" noChangeArrowheads="1"/>
                  </pic:cNvPicPr>
                </pic:nvPicPr>
                <pic:blipFill>
                  <a:blip r:embed="rId3"/>
                  <a:srcRect/>
                  <a:stretch>
                    <a:fillRect/>
                  </a:stretch>
                </pic:blipFill>
                <pic:spPr bwMode="auto">
                  <a:xfrm>
                    <a:off x="0" y="0"/>
                    <a:ext cx="2447925" cy="519954"/>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454BB1"/>
    <w:rsid w:val="000A346C"/>
    <w:rsid w:val="000C27C2"/>
    <w:rsid w:val="000F6EDC"/>
    <w:rsid w:val="00104892"/>
    <w:rsid w:val="0012629B"/>
    <w:rsid w:val="0014110B"/>
    <w:rsid w:val="00161F9C"/>
    <w:rsid w:val="00184712"/>
    <w:rsid w:val="001E4052"/>
    <w:rsid w:val="0021035A"/>
    <w:rsid w:val="00227A90"/>
    <w:rsid w:val="00254205"/>
    <w:rsid w:val="00266108"/>
    <w:rsid w:val="0029510E"/>
    <w:rsid w:val="002F340E"/>
    <w:rsid w:val="003B0BDF"/>
    <w:rsid w:val="003C1263"/>
    <w:rsid w:val="003D2C89"/>
    <w:rsid w:val="003E5E94"/>
    <w:rsid w:val="003F2D00"/>
    <w:rsid w:val="00416766"/>
    <w:rsid w:val="00451BA1"/>
    <w:rsid w:val="00454BB1"/>
    <w:rsid w:val="005320CC"/>
    <w:rsid w:val="0055432C"/>
    <w:rsid w:val="00560FC5"/>
    <w:rsid w:val="005A53F9"/>
    <w:rsid w:val="005E1A21"/>
    <w:rsid w:val="005F2B15"/>
    <w:rsid w:val="005F396D"/>
    <w:rsid w:val="00656738"/>
    <w:rsid w:val="00662636"/>
    <w:rsid w:val="00680206"/>
    <w:rsid w:val="00685C8D"/>
    <w:rsid w:val="0069663D"/>
    <w:rsid w:val="006A6E68"/>
    <w:rsid w:val="006C21FF"/>
    <w:rsid w:val="006C3022"/>
    <w:rsid w:val="006D1C90"/>
    <w:rsid w:val="00717F82"/>
    <w:rsid w:val="00726F5E"/>
    <w:rsid w:val="00756B58"/>
    <w:rsid w:val="007743C5"/>
    <w:rsid w:val="007746EC"/>
    <w:rsid w:val="0078551F"/>
    <w:rsid w:val="007B66FB"/>
    <w:rsid w:val="007C6691"/>
    <w:rsid w:val="007F7630"/>
    <w:rsid w:val="008118BF"/>
    <w:rsid w:val="00814364"/>
    <w:rsid w:val="00855F84"/>
    <w:rsid w:val="008734E5"/>
    <w:rsid w:val="00887C82"/>
    <w:rsid w:val="008C38FE"/>
    <w:rsid w:val="009123F8"/>
    <w:rsid w:val="009321BA"/>
    <w:rsid w:val="00946625"/>
    <w:rsid w:val="00950B0E"/>
    <w:rsid w:val="009F4B73"/>
    <w:rsid w:val="00A31FFD"/>
    <w:rsid w:val="00A415E3"/>
    <w:rsid w:val="00A700CF"/>
    <w:rsid w:val="00A9007D"/>
    <w:rsid w:val="00AD6E54"/>
    <w:rsid w:val="00B12C09"/>
    <w:rsid w:val="00B63885"/>
    <w:rsid w:val="00B705F6"/>
    <w:rsid w:val="00B72457"/>
    <w:rsid w:val="00B80087"/>
    <w:rsid w:val="00BD3888"/>
    <w:rsid w:val="00C13014"/>
    <w:rsid w:val="00C17D4A"/>
    <w:rsid w:val="00C646B7"/>
    <w:rsid w:val="00C94F75"/>
    <w:rsid w:val="00C976B4"/>
    <w:rsid w:val="00CA46F5"/>
    <w:rsid w:val="00CC5AD1"/>
    <w:rsid w:val="00CD2455"/>
    <w:rsid w:val="00CD39B4"/>
    <w:rsid w:val="00D04DFB"/>
    <w:rsid w:val="00D05FA7"/>
    <w:rsid w:val="00D07179"/>
    <w:rsid w:val="00D177BD"/>
    <w:rsid w:val="00DA3DB3"/>
    <w:rsid w:val="00DE082C"/>
    <w:rsid w:val="00DE6D49"/>
    <w:rsid w:val="00E4336B"/>
    <w:rsid w:val="00E857F8"/>
    <w:rsid w:val="00E91A53"/>
    <w:rsid w:val="00EB6C11"/>
    <w:rsid w:val="00EC2FEE"/>
    <w:rsid w:val="00EF73C6"/>
    <w:rsid w:val="00F37AF9"/>
    <w:rsid w:val="00F37D2D"/>
    <w:rsid w:val="00F60399"/>
    <w:rsid w:val="00FB36A2"/>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92795372">
      <w:bodyDiv w:val="1"/>
      <w:marLeft w:val="0"/>
      <w:marRight w:val="0"/>
      <w:marTop w:val="0"/>
      <w:marBottom w:val="0"/>
      <w:divBdr>
        <w:top w:val="none" w:sz="0" w:space="0" w:color="auto"/>
        <w:left w:val="none" w:sz="0" w:space="0" w:color="auto"/>
        <w:bottom w:val="none" w:sz="0" w:space="0" w:color="auto"/>
        <w:right w:val="none" w:sz="0" w:space="0" w:color="auto"/>
      </w:divBdr>
    </w:div>
    <w:div w:id="672030192">
      <w:bodyDiv w:val="1"/>
      <w:marLeft w:val="0"/>
      <w:marRight w:val="0"/>
      <w:marTop w:val="0"/>
      <w:marBottom w:val="0"/>
      <w:divBdr>
        <w:top w:val="none" w:sz="0" w:space="0" w:color="auto"/>
        <w:left w:val="none" w:sz="0" w:space="0" w:color="auto"/>
        <w:bottom w:val="none" w:sz="0" w:space="0" w:color="auto"/>
        <w:right w:val="none" w:sz="0" w:space="0" w:color="auto"/>
      </w:divBdr>
    </w:div>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906367">
      <w:bodyDiv w:val="1"/>
      <w:marLeft w:val="0"/>
      <w:marRight w:val="0"/>
      <w:marTop w:val="0"/>
      <w:marBottom w:val="0"/>
      <w:divBdr>
        <w:top w:val="none" w:sz="0" w:space="0" w:color="auto"/>
        <w:left w:val="none" w:sz="0" w:space="0" w:color="auto"/>
        <w:bottom w:val="none" w:sz="0" w:space="0" w:color="auto"/>
        <w:right w:val="none" w:sz="0" w:space="0" w:color="auto"/>
      </w:divBdr>
    </w:div>
    <w:div w:id="1419136910">
      <w:bodyDiv w:val="1"/>
      <w:marLeft w:val="0"/>
      <w:marRight w:val="0"/>
      <w:marTop w:val="0"/>
      <w:marBottom w:val="0"/>
      <w:divBdr>
        <w:top w:val="none" w:sz="0" w:space="0" w:color="auto"/>
        <w:left w:val="none" w:sz="0" w:space="0" w:color="auto"/>
        <w:bottom w:val="none" w:sz="0" w:space="0" w:color="auto"/>
        <w:right w:val="none" w:sz="0" w:space="0" w:color="auto"/>
      </w:divBdr>
    </w:div>
    <w:div w:id="1684211715">
      <w:bodyDiv w:val="1"/>
      <w:marLeft w:val="0"/>
      <w:marRight w:val="0"/>
      <w:marTop w:val="0"/>
      <w:marBottom w:val="0"/>
      <w:divBdr>
        <w:top w:val="none" w:sz="0" w:space="0" w:color="auto"/>
        <w:left w:val="none" w:sz="0" w:space="0" w:color="auto"/>
        <w:bottom w:val="none" w:sz="0" w:space="0" w:color="auto"/>
        <w:right w:val="none" w:sz="0" w:space="0" w:color="auto"/>
      </w:divBdr>
    </w:div>
    <w:div w:id="1706980137">
      <w:bodyDiv w:val="1"/>
      <w:marLeft w:val="0"/>
      <w:marRight w:val="0"/>
      <w:marTop w:val="0"/>
      <w:marBottom w:val="0"/>
      <w:divBdr>
        <w:top w:val="none" w:sz="0" w:space="0" w:color="auto"/>
        <w:left w:val="none" w:sz="0" w:space="0" w:color="auto"/>
        <w:bottom w:val="none" w:sz="0" w:space="0" w:color="auto"/>
        <w:right w:val="none" w:sz="0" w:space="0" w:color="auto"/>
      </w:divBdr>
    </w:div>
    <w:div w:id="1761368538">
      <w:bodyDiv w:val="1"/>
      <w:marLeft w:val="0"/>
      <w:marRight w:val="0"/>
      <w:marTop w:val="0"/>
      <w:marBottom w:val="0"/>
      <w:divBdr>
        <w:top w:val="none" w:sz="0" w:space="0" w:color="auto"/>
        <w:left w:val="none" w:sz="0" w:space="0" w:color="auto"/>
        <w:bottom w:val="none" w:sz="0" w:space="0" w:color="auto"/>
        <w:right w:val="none" w:sz="0" w:space="0" w:color="auto"/>
      </w:divBdr>
    </w:div>
    <w:div w:id="2118014942">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ZA"/>
  <c:chart>
    <c:autoTitleDeleted val="1"/>
    <c:plotArea>
      <c:layout/>
      <c:lineChart>
        <c:grouping val="standard"/>
        <c:ser>
          <c:idx val="0"/>
          <c:order val="0"/>
          <c:tx>
            <c:strRef>
              <c:f>'Sea adjusted indices'!$AQ$4</c:f>
              <c:strCache>
                <c:ptCount val="1"/>
                <c:pt idx="0">
                  <c:v>Total KZN Investment</c:v>
                </c:pt>
              </c:strCache>
            </c:strRef>
          </c:tx>
          <c:spPr>
            <a:ln w="53975"/>
          </c:spPr>
          <c:marker>
            <c:symbol val="none"/>
          </c:marker>
          <c:cat>
            <c:numRef>
              <c:f>'Sea adjusted indices'!$A$77:$A$149</c:f>
              <c:numCache>
                <c:formatCode>mmm\-yy</c:formatCode>
                <c:ptCount val="73"/>
                <c:pt idx="0">
                  <c:v>39448</c:v>
                </c:pt>
                <c:pt idx="1">
                  <c:v>39479</c:v>
                </c:pt>
                <c:pt idx="2">
                  <c:v>39508</c:v>
                </c:pt>
                <c:pt idx="3">
                  <c:v>39539</c:v>
                </c:pt>
                <c:pt idx="4">
                  <c:v>39569</c:v>
                </c:pt>
                <c:pt idx="5">
                  <c:v>39600</c:v>
                </c:pt>
                <c:pt idx="6">
                  <c:v>39630</c:v>
                </c:pt>
                <c:pt idx="7">
                  <c:v>39661</c:v>
                </c:pt>
                <c:pt idx="8">
                  <c:v>39692</c:v>
                </c:pt>
                <c:pt idx="9">
                  <c:v>39722</c:v>
                </c:pt>
                <c:pt idx="10">
                  <c:v>39753</c:v>
                </c:pt>
                <c:pt idx="11">
                  <c:v>39783</c:v>
                </c:pt>
                <c:pt idx="12">
                  <c:v>39814</c:v>
                </c:pt>
                <c:pt idx="13">
                  <c:v>39845</c:v>
                </c:pt>
                <c:pt idx="14">
                  <c:v>39873</c:v>
                </c:pt>
                <c:pt idx="15">
                  <c:v>39904</c:v>
                </c:pt>
                <c:pt idx="16">
                  <c:v>39934</c:v>
                </c:pt>
                <c:pt idx="17">
                  <c:v>39965</c:v>
                </c:pt>
                <c:pt idx="18">
                  <c:v>39995</c:v>
                </c:pt>
                <c:pt idx="19">
                  <c:v>40026</c:v>
                </c:pt>
                <c:pt idx="20">
                  <c:v>40057</c:v>
                </c:pt>
                <c:pt idx="21">
                  <c:v>40087</c:v>
                </c:pt>
                <c:pt idx="22">
                  <c:v>40118</c:v>
                </c:pt>
                <c:pt idx="23">
                  <c:v>40148</c:v>
                </c:pt>
                <c:pt idx="24">
                  <c:v>40179</c:v>
                </c:pt>
                <c:pt idx="25">
                  <c:v>40210</c:v>
                </c:pt>
                <c:pt idx="26">
                  <c:v>40238</c:v>
                </c:pt>
                <c:pt idx="27">
                  <c:v>40269</c:v>
                </c:pt>
                <c:pt idx="28">
                  <c:v>40299</c:v>
                </c:pt>
                <c:pt idx="29">
                  <c:v>40330</c:v>
                </c:pt>
                <c:pt idx="30">
                  <c:v>40360</c:v>
                </c:pt>
                <c:pt idx="31">
                  <c:v>40391</c:v>
                </c:pt>
                <c:pt idx="32">
                  <c:v>40422</c:v>
                </c:pt>
                <c:pt idx="33">
                  <c:v>40452</c:v>
                </c:pt>
                <c:pt idx="34">
                  <c:v>40483</c:v>
                </c:pt>
                <c:pt idx="35">
                  <c:v>40513</c:v>
                </c:pt>
                <c:pt idx="36">
                  <c:v>40544</c:v>
                </c:pt>
                <c:pt idx="37">
                  <c:v>40575</c:v>
                </c:pt>
                <c:pt idx="38">
                  <c:v>40603</c:v>
                </c:pt>
                <c:pt idx="39">
                  <c:v>40634</c:v>
                </c:pt>
                <c:pt idx="40">
                  <c:v>40664</c:v>
                </c:pt>
                <c:pt idx="41">
                  <c:v>40695</c:v>
                </c:pt>
                <c:pt idx="42">
                  <c:v>40725</c:v>
                </c:pt>
                <c:pt idx="43">
                  <c:v>40756</c:v>
                </c:pt>
                <c:pt idx="44">
                  <c:v>40787</c:v>
                </c:pt>
                <c:pt idx="45">
                  <c:v>40817</c:v>
                </c:pt>
                <c:pt idx="46">
                  <c:v>40848</c:v>
                </c:pt>
                <c:pt idx="47">
                  <c:v>40878</c:v>
                </c:pt>
                <c:pt idx="48">
                  <c:v>40909</c:v>
                </c:pt>
                <c:pt idx="49">
                  <c:v>40940</c:v>
                </c:pt>
                <c:pt idx="50">
                  <c:v>40969</c:v>
                </c:pt>
                <c:pt idx="51">
                  <c:v>41000</c:v>
                </c:pt>
                <c:pt idx="52">
                  <c:v>41030</c:v>
                </c:pt>
                <c:pt idx="53">
                  <c:v>41061</c:v>
                </c:pt>
                <c:pt idx="54">
                  <c:v>41091</c:v>
                </c:pt>
                <c:pt idx="55">
                  <c:v>41122</c:v>
                </c:pt>
                <c:pt idx="56">
                  <c:v>41153</c:v>
                </c:pt>
                <c:pt idx="57">
                  <c:v>41183</c:v>
                </c:pt>
                <c:pt idx="58">
                  <c:v>41214</c:v>
                </c:pt>
                <c:pt idx="59">
                  <c:v>41244</c:v>
                </c:pt>
                <c:pt idx="60">
                  <c:v>41275</c:v>
                </c:pt>
                <c:pt idx="61">
                  <c:v>41306</c:v>
                </c:pt>
                <c:pt idx="62">
                  <c:v>41334</c:v>
                </c:pt>
                <c:pt idx="63">
                  <c:v>41365</c:v>
                </c:pt>
                <c:pt idx="64">
                  <c:v>41395</c:v>
                </c:pt>
                <c:pt idx="65">
                  <c:v>41426</c:v>
                </c:pt>
                <c:pt idx="66">
                  <c:v>41456</c:v>
                </c:pt>
                <c:pt idx="67">
                  <c:v>41487</c:v>
                </c:pt>
                <c:pt idx="68">
                  <c:v>41518</c:v>
                </c:pt>
                <c:pt idx="69">
                  <c:v>41548</c:v>
                </c:pt>
                <c:pt idx="70">
                  <c:v>41579</c:v>
                </c:pt>
                <c:pt idx="71">
                  <c:v>41609</c:v>
                </c:pt>
                <c:pt idx="72">
                  <c:v>41640</c:v>
                </c:pt>
              </c:numCache>
            </c:numRef>
          </c:cat>
          <c:val>
            <c:numRef>
              <c:f>'Sea adjusted indices'!$AQ$77:$AQ$149</c:f>
              <c:numCache>
                <c:formatCode>0.0</c:formatCode>
                <c:ptCount val="73"/>
                <c:pt idx="0">
                  <c:v>116.88870037477388</c:v>
                </c:pt>
                <c:pt idx="1">
                  <c:v>122.3458420501035</c:v>
                </c:pt>
                <c:pt idx="2">
                  <c:v>125.49257175863838</c:v>
                </c:pt>
                <c:pt idx="3">
                  <c:v>130.06852167127224</c:v>
                </c:pt>
                <c:pt idx="4">
                  <c:v>125.44577205597281</c:v>
                </c:pt>
                <c:pt idx="5">
                  <c:v>125.86158195041283</c:v>
                </c:pt>
                <c:pt idx="6">
                  <c:v>121.65233422895771</c:v>
                </c:pt>
                <c:pt idx="7">
                  <c:v>122.14701567717067</c:v>
                </c:pt>
                <c:pt idx="8">
                  <c:v>120.11466718411415</c:v>
                </c:pt>
                <c:pt idx="9">
                  <c:v>120.48825003779938</c:v>
                </c:pt>
                <c:pt idx="10">
                  <c:v>122.01094105799496</c:v>
                </c:pt>
                <c:pt idx="11">
                  <c:v>123.00999866580567</c:v>
                </c:pt>
                <c:pt idx="12">
                  <c:v>125.31362277240511</c:v>
                </c:pt>
                <c:pt idx="13">
                  <c:v>117.34300770410007</c:v>
                </c:pt>
                <c:pt idx="14">
                  <c:v>112.96078608473933</c:v>
                </c:pt>
                <c:pt idx="15">
                  <c:v>108.5694225873643</c:v>
                </c:pt>
                <c:pt idx="16">
                  <c:v>106.80446055291897</c:v>
                </c:pt>
                <c:pt idx="17">
                  <c:v>102.77650930566961</c:v>
                </c:pt>
                <c:pt idx="18">
                  <c:v>101.12107416621944</c:v>
                </c:pt>
                <c:pt idx="19">
                  <c:v>98.415591789798626</c:v>
                </c:pt>
                <c:pt idx="20">
                  <c:v>95.313646560047061</c:v>
                </c:pt>
                <c:pt idx="21">
                  <c:v>95.185353928636843</c:v>
                </c:pt>
                <c:pt idx="22">
                  <c:v>94.551349410023732</c:v>
                </c:pt>
                <c:pt idx="23">
                  <c:v>94.795918578695009</c:v>
                </c:pt>
                <c:pt idx="24">
                  <c:v>98.663419127542511</c:v>
                </c:pt>
                <c:pt idx="25">
                  <c:v>98.951800589485657</c:v>
                </c:pt>
                <c:pt idx="26">
                  <c:v>97.982838864679366</c:v>
                </c:pt>
                <c:pt idx="27">
                  <c:v>95.507442650140007</c:v>
                </c:pt>
                <c:pt idx="28">
                  <c:v>101.70667646766256</c:v>
                </c:pt>
                <c:pt idx="29">
                  <c:v>101.10004120650349</c:v>
                </c:pt>
                <c:pt idx="30">
                  <c:v>100.49180856266955</c:v>
                </c:pt>
                <c:pt idx="31">
                  <c:v>98.662956867713788</c:v>
                </c:pt>
                <c:pt idx="32">
                  <c:v>100.82410504096998</c:v>
                </c:pt>
                <c:pt idx="33">
                  <c:v>102.8639204005236</c:v>
                </c:pt>
                <c:pt idx="34">
                  <c:v>100.16964660357978</c:v>
                </c:pt>
                <c:pt idx="35">
                  <c:v>102.49408097589426</c:v>
                </c:pt>
                <c:pt idx="36">
                  <c:v>107.27896454385035</c:v>
                </c:pt>
                <c:pt idx="37">
                  <c:v>108.93378940445746</c:v>
                </c:pt>
                <c:pt idx="38">
                  <c:v>113.77188256772433</c:v>
                </c:pt>
                <c:pt idx="39">
                  <c:v>109.98651364714844</c:v>
                </c:pt>
                <c:pt idx="40">
                  <c:v>109.34726671174329</c:v>
                </c:pt>
                <c:pt idx="41">
                  <c:v>105.09240430502038</c:v>
                </c:pt>
                <c:pt idx="42">
                  <c:v>106.79718726772019</c:v>
                </c:pt>
                <c:pt idx="43">
                  <c:v>108.47931152942785</c:v>
                </c:pt>
                <c:pt idx="44">
                  <c:v>112.0996627394732</c:v>
                </c:pt>
                <c:pt idx="45">
                  <c:v>115.38958851257776</c:v>
                </c:pt>
                <c:pt idx="46">
                  <c:v>117.38148447247045</c:v>
                </c:pt>
                <c:pt idx="47">
                  <c:v>118.86860661678288</c:v>
                </c:pt>
                <c:pt idx="48">
                  <c:v>123.97033014688691</c:v>
                </c:pt>
                <c:pt idx="49">
                  <c:v>121.52021452898965</c:v>
                </c:pt>
                <c:pt idx="50">
                  <c:v>116.87312500911666</c:v>
                </c:pt>
                <c:pt idx="51">
                  <c:v>119.6587445174725</c:v>
                </c:pt>
                <c:pt idx="52">
                  <c:v>123.35473145926098</c:v>
                </c:pt>
                <c:pt idx="53">
                  <c:v>126.22352187729004</c:v>
                </c:pt>
                <c:pt idx="54">
                  <c:v>128.12892043659139</c:v>
                </c:pt>
                <c:pt idx="55">
                  <c:v>123.52409418178897</c:v>
                </c:pt>
                <c:pt idx="56">
                  <c:v>125.98873945231995</c:v>
                </c:pt>
                <c:pt idx="57">
                  <c:v>126.21465583384008</c:v>
                </c:pt>
                <c:pt idx="58">
                  <c:v>123.44263433101173</c:v>
                </c:pt>
                <c:pt idx="59">
                  <c:v>117.80150372308148</c:v>
                </c:pt>
                <c:pt idx="60">
                  <c:v>122.60930203815364</c:v>
                </c:pt>
                <c:pt idx="61">
                  <c:v>123.65795082725337</c:v>
                </c:pt>
                <c:pt idx="62">
                  <c:v>121.32759332331449</c:v>
                </c:pt>
                <c:pt idx="63">
                  <c:v>120.33368638092634</c:v>
                </c:pt>
                <c:pt idx="64">
                  <c:v>120.82920994958263</c:v>
                </c:pt>
                <c:pt idx="65">
                  <c:v>119.57374075246499</c:v>
                </c:pt>
                <c:pt idx="66">
                  <c:v>119.97025161836802</c:v>
                </c:pt>
                <c:pt idx="67">
                  <c:v>118.81070204816193</c:v>
                </c:pt>
                <c:pt idx="68">
                  <c:v>120.04178128600243</c:v>
                </c:pt>
                <c:pt idx="69">
                  <c:v>119.37391040007108</c:v>
                </c:pt>
                <c:pt idx="70">
                  <c:v>119.07468293812184</c:v>
                </c:pt>
                <c:pt idx="71">
                  <c:v>118.6497871878428</c:v>
                </c:pt>
                <c:pt idx="72">
                  <c:v>125.19876116155187</c:v>
                </c:pt>
              </c:numCache>
            </c:numRef>
          </c:val>
        </c:ser>
        <c:marker val="1"/>
        <c:axId val="11080832"/>
        <c:axId val="11082368"/>
      </c:lineChart>
      <c:dateAx>
        <c:axId val="11080832"/>
        <c:scaling>
          <c:orientation val="minMax"/>
        </c:scaling>
        <c:axPos val="b"/>
        <c:numFmt formatCode="mmm\-yy" sourceLinked="1"/>
        <c:tickLblPos val="nextTo"/>
        <c:txPr>
          <a:bodyPr/>
          <a:lstStyle/>
          <a:p>
            <a:pPr>
              <a:defRPr sz="1200" b="1"/>
            </a:pPr>
            <a:endParaRPr lang="en-US"/>
          </a:p>
        </c:txPr>
        <c:crossAx val="11082368"/>
        <c:crosses val="autoZero"/>
        <c:auto val="1"/>
        <c:lblOffset val="100"/>
        <c:baseTimeUnit val="months"/>
      </c:dateAx>
      <c:valAx>
        <c:axId val="11082368"/>
        <c:scaling>
          <c:orientation val="minMax"/>
          <c:min val="90"/>
        </c:scaling>
        <c:axPos val="l"/>
        <c:majorGridlines/>
        <c:numFmt formatCode="0" sourceLinked="0"/>
        <c:tickLblPos val="nextTo"/>
        <c:txPr>
          <a:bodyPr/>
          <a:lstStyle/>
          <a:p>
            <a:pPr>
              <a:defRPr sz="1200" b="1"/>
            </a:pPr>
            <a:endParaRPr lang="en-US"/>
          </a:p>
        </c:txPr>
        <c:crossAx val="11080832"/>
        <c:crosses val="autoZero"/>
        <c:crossBetween val="between"/>
      </c:valAx>
      <c:spPr>
        <a:noFill/>
      </c:spPr>
    </c:plotArea>
    <c:legend>
      <c:legendPos val="t"/>
      <c:layout>
        <c:manualLayout>
          <c:xMode val="edge"/>
          <c:yMode val="edge"/>
          <c:x val="0.16726916346995091"/>
          <c:y val="0.11156039103272113"/>
          <c:w val="0.45735025910222771"/>
          <c:h val="9.1726721952675047E-2"/>
        </c:manualLayout>
      </c:layout>
      <c:overlay val="1"/>
      <c:txPr>
        <a:bodyPr/>
        <a:lstStyle/>
        <a:p>
          <a:pPr>
            <a:defRPr sz="1800" b="1"/>
          </a:pPr>
          <a:endParaRPr lang="en-US"/>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4FBCEC-F16A-46B7-83DF-D28B377B8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793</Words>
  <Characters>4522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5305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2014-04-10T00:30:00Z</dcterms:created>
  <dcterms:modified xsi:type="dcterms:W3CDTF">2014-04-10T00:30:00Z</dcterms:modified>
</cp:coreProperties>
</file>