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Pr="00345E2D" w:rsidRDefault="00454BB1" w:rsidP="00495543">
      <w:pPr>
        <w:jc w:val="center"/>
        <w:rPr>
          <w:rFonts w:ascii="Arial" w:hAnsi="Arial"/>
          <w:b/>
          <w:sz w:val="32"/>
          <w:szCs w:val="28"/>
        </w:rPr>
      </w:pPr>
      <w:r w:rsidRPr="00345E2D">
        <w:rPr>
          <w:rFonts w:ascii="Arial" w:hAnsi="Arial"/>
          <w:b/>
          <w:sz w:val="32"/>
          <w:szCs w:val="28"/>
        </w:rPr>
        <w:t xml:space="preserve">KwaZulu-Natal </w:t>
      </w:r>
      <w:r w:rsidR="00A6357C" w:rsidRPr="00345E2D">
        <w:rPr>
          <w:rFonts w:ascii="Arial" w:hAnsi="Arial"/>
          <w:b/>
          <w:sz w:val="32"/>
          <w:szCs w:val="28"/>
        </w:rPr>
        <w:t>Business Barometer</w:t>
      </w:r>
    </w:p>
    <w:p w:rsidR="00454BB1" w:rsidRPr="00454BB1" w:rsidRDefault="00454BB1" w:rsidP="00495543">
      <w:pPr>
        <w:jc w:val="center"/>
        <w:rPr>
          <w:rFonts w:ascii="Arial" w:hAnsi="Arial"/>
        </w:rPr>
      </w:pPr>
    </w:p>
    <w:p w:rsidR="005A53F9" w:rsidRDefault="005A53F9" w:rsidP="00495543">
      <w:pPr>
        <w:jc w:val="center"/>
        <w:rPr>
          <w:rFonts w:ascii="Arial" w:hAnsi="Arial"/>
          <w:b/>
        </w:rPr>
      </w:pPr>
    </w:p>
    <w:p w:rsidR="005A53F9" w:rsidRDefault="005A53F9" w:rsidP="00495543">
      <w:pPr>
        <w:jc w:val="center"/>
        <w:rPr>
          <w:rFonts w:ascii="Arial" w:hAnsi="Arial"/>
          <w:b/>
        </w:rPr>
      </w:pPr>
    </w:p>
    <w:p w:rsidR="005A53F9" w:rsidRDefault="005A53F9" w:rsidP="00495543">
      <w:pPr>
        <w:jc w:val="center"/>
        <w:rPr>
          <w:rFonts w:ascii="Arial" w:hAnsi="Arial"/>
          <w:b/>
        </w:rPr>
      </w:pPr>
    </w:p>
    <w:p w:rsidR="005A53F9" w:rsidRDefault="005A53F9" w:rsidP="00495543">
      <w:pPr>
        <w:jc w:val="center"/>
        <w:rPr>
          <w:rFonts w:ascii="Arial" w:hAnsi="Arial"/>
          <w:b/>
        </w:rPr>
      </w:pPr>
    </w:p>
    <w:p w:rsidR="005A53F9" w:rsidRDefault="005A53F9" w:rsidP="00495543">
      <w:pPr>
        <w:jc w:val="center"/>
        <w:rPr>
          <w:rFonts w:ascii="Arial" w:hAnsi="Arial"/>
          <w:b/>
        </w:rPr>
      </w:pPr>
    </w:p>
    <w:p w:rsidR="00454BB1" w:rsidRPr="00345E2D" w:rsidRDefault="00BE3431" w:rsidP="00495543">
      <w:pPr>
        <w:jc w:val="center"/>
        <w:rPr>
          <w:rFonts w:ascii="Arial" w:hAnsi="Arial"/>
          <w:b/>
          <w:sz w:val="22"/>
        </w:rPr>
      </w:pPr>
      <w:r>
        <w:rPr>
          <w:rFonts w:ascii="Arial" w:hAnsi="Arial"/>
          <w:b/>
          <w:sz w:val="22"/>
        </w:rPr>
        <w:t>May</w:t>
      </w:r>
      <w:r w:rsidR="00405D35" w:rsidRPr="00345E2D">
        <w:rPr>
          <w:rFonts w:ascii="Arial" w:hAnsi="Arial"/>
          <w:b/>
          <w:sz w:val="22"/>
        </w:rPr>
        <w:t xml:space="preserve"> 2014</w:t>
      </w:r>
    </w:p>
    <w:p w:rsidR="00454BB1" w:rsidRDefault="00454BB1" w:rsidP="00454BB1">
      <w:pPr>
        <w:jc w:val="center"/>
        <w:rPr>
          <w:rFonts w:ascii="Arial" w:hAnsi="Arial"/>
          <w:b/>
        </w:rPr>
      </w:pPr>
    </w:p>
    <w:p w:rsidR="005A53F9" w:rsidRDefault="005A53F9">
      <w:pPr>
        <w:rPr>
          <w:rFonts w:ascii="Arial" w:hAnsi="Arial"/>
        </w:rPr>
        <w:sectPr w:rsidR="005A53F9" w:rsidSect="00704A22">
          <w:headerReference w:type="default" r:id="rId7"/>
          <w:footerReference w:type="default" r:id="rId8"/>
          <w:pgSz w:w="12240" w:h="15840"/>
          <w:pgMar w:top="3649" w:right="474" w:bottom="1440" w:left="284" w:header="2127" w:footer="2836" w:gutter="0"/>
          <w:cols w:space="708"/>
          <w:docGrid w:linePitch="360"/>
        </w:sectPr>
      </w:pPr>
    </w:p>
    <w:p w:rsidR="005F43B6" w:rsidRDefault="005F43B6" w:rsidP="005F43B6">
      <w:pPr>
        <w:rPr>
          <w:rFonts w:ascii="Arial" w:hAnsi="Arial"/>
          <w:b/>
          <w:sz w:val="32"/>
          <w:szCs w:val="32"/>
          <w:lang w:val="en-GB"/>
        </w:rPr>
      </w:pPr>
      <w:r w:rsidRPr="005F43B6">
        <w:rPr>
          <w:rFonts w:ascii="Arial" w:hAnsi="Arial"/>
          <w:b/>
          <w:sz w:val="32"/>
          <w:szCs w:val="32"/>
          <w:lang w:val="en-GB"/>
        </w:rPr>
        <w:lastRenderedPageBreak/>
        <w:t>Strike hurting confidence in KwaZulu-Natal economy</w:t>
      </w:r>
    </w:p>
    <w:p w:rsidR="0000722D" w:rsidRDefault="0000722D" w:rsidP="005F43B6">
      <w:pPr>
        <w:rPr>
          <w:rFonts w:ascii="Arial" w:hAnsi="Arial"/>
          <w:b/>
          <w:sz w:val="32"/>
          <w:szCs w:val="32"/>
          <w:lang w:val="en-GB"/>
        </w:rPr>
      </w:pPr>
    </w:p>
    <w:p w:rsidR="0000722D" w:rsidRDefault="0000722D" w:rsidP="005F43B6">
      <w:pPr>
        <w:rPr>
          <w:rFonts w:ascii="Arial" w:hAnsi="Arial"/>
          <w:szCs w:val="20"/>
          <w:lang w:val="en-GB"/>
        </w:rPr>
      </w:pPr>
      <w:r>
        <w:rPr>
          <w:noProof/>
          <w:lang w:val="en-ZA" w:eastAsia="en-ZA"/>
        </w:rPr>
        <w:drawing>
          <wp:inline distT="0" distB="0" distL="0" distR="0">
            <wp:extent cx="5943600" cy="388112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0722D" w:rsidRDefault="005F43B6" w:rsidP="005F43B6">
      <w:pPr>
        <w:rPr>
          <w:rFonts w:ascii="Arial" w:hAnsi="Arial"/>
          <w:szCs w:val="20"/>
          <w:lang w:val="en-GB"/>
        </w:rPr>
      </w:pPr>
      <w:r w:rsidRPr="005F43B6">
        <w:rPr>
          <w:rFonts w:ascii="Arial" w:hAnsi="Arial"/>
          <w:szCs w:val="20"/>
          <w:lang w:val="en-GB"/>
        </w:rPr>
        <w:t>The prolonged platinum strike, rising inflat</w:t>
      </w:r>
      <w:r w:rsidR="0000722D">
        <w:rPr>
          <w:rFonts w:ascii="Arial" w:hAnsi="Arial"/>
          <w:szCs w:val="20"/>
          <w:lang w:val="en-GB"/>
        </w:rPr>
        <w:t>ion and the prospects of higher</w:t>
      </w:r>
      <w:r w:rsidRPr="005F43B6">
        <w:rPr>
          <w:rFonts w:ascii="Arial" w:hAnsi="Arial"/>
          <w:szCs w:val="20"/>
          <w:lang w:val="en-GB"/>
        </w:rPr>
        <w:t xml:space="preserve"> interest rates are hampering business and consumer confidence in KwaZulu-Natal and holding back the economy. The latest KwaZulu-Natal barometer, as compiled by Mike Schüssler of Economists.co.za, declined 1.8% year-on-year, the second consecutive month of decline, and was also down on a quarter-on-qu</w:t>
      </w:r>
      <w:r w:rsidR="0000722D">
        <w:rPr>
          <w:rFonts w:ascii="Arial" w:hAnsi="Arial"/>
          <w:szCs w:val="20"/>
          <w:lang w:val="en-GB"/>
        </w:rPr>
        <w:t>arter and month-on-month basis.</w:t>
      </w:r>
    </w:p>
    <w:p w:rsidR="005F43B6" w:rsidRDefault="005F43B6" w:rsidP="005F43B6">
      <w:pPr>
        <w:rPr>
          <w:rFonts w:ascii="Arial" w:hAnsi="Arial"/>
          <w:szCs w:val="20"/>
          <w:lang w:val="en-GB"/>
        </w:rPr>
      </w:pPr>
    </w:p>
    <w:p w:rsidR="005F43B6" w:rsidRPr="005F43B6" w:rsidRDefault="005F43B6" w:rsidP="005F43B6">
      <w:pPr>
        <w:rPr>
          <w:rFonts w:ascii="Arial" w:hAnsi="Arial"/>
          <w:b/>
          <w:szCs w:val="20"/>
          <w:lang w:val="en-GB"/>
        </w:rPr>
      </w:pPr>
      <w:r w:rsidRPr="005F43B6">
        <w:rPr>
          <w:rFonts w:ascii="Arial" w:hAnsi="Arial"/>
          <w:b/>
          <w:szCs w:val="20"/>
          <w:lang w:val="en-GB"/>
        </w:rPr>
        <w:t>Slower growth and increased stress</w:t>
      </w:r>
    </w:p>
    <w:p w:rsidR="005F43B6" w:rsidRDefault="005F43B6" w:rsidP="005F43B6">
      <w:pPr>
        <w:rPr>
          <w:rFonts w:ascii="Arial" w:hAnsi="Arial"/>
          <w:szCs w:val="20"/>
          <w:lang w:val="en-GB"/>
        </w:rPr>
      </w:pPr>
      <w:r w:rsidRPr="005F43B6">
        <w:rPr>
          <w:rFonts w:ascii="Arial" w:hAnsi="Arial"/>
          <w:szCs w:val="20"/>
          <w:lang w:val="en-GB"/>
        </w:rPr>
        <w:t xml:space="preserve">The decline in the barometer was due to a combination of slower economic growth and higher economic stress.  The KwaZulu-Natal growth index increased 0.5% year-on-year, while the economic stress index, which measures negative factors like inflation, interest rates and unemployment, increased 2.4%, the most in eight months. This was caused by growing unemployment and consumer prices.  The economy seems to be in a period of stagflation, characterized by high inflation and low growth. Even if the national economy does not go into a recession, growth will disappoint this year, both in South Africa and in KwaZulu-Natal. This has to do with more than just the strikes, which lead to the loss of 9 million working days in the first half of the year. Electricity and infrastructure constraints hold back the economy, as does the prospect of higher interest rates. </w:t>
      </w:r>
    </w:p>
    <w:p w:rsidR="005F43B6" w:rsidRDefault="005F43B6" w:rsidP="005F43B6">
      <w:pPr>
        <w:rPr>
          <w:rFonts w:ascii="Arial" w:hAnsi="Arial"/>
          <w:szCs w:val="20"/>
          <w:lang w:val="en-GB"/>
        </w:rPr>
      </w:pPr>
    </w:p>
    <w:p w:rsidR="00421A3B" w:rsidRDefault="00421A3B" w:rsidP="005F43B6">
      <w:pPr>
        <w:rPr>
          <w:rFonts w:ascii="Arial" w:hAnsi="Arial"/>
          <w:b/>
          <w:szCs w:val="20"/>
          <w:lang w:val="en-GB"/>
        </w:rPr>
      </w:pPr>
    </w:p>
    <w:p w:rsidR="00421A3B" w:rsidRDefault="00421A3B" w:rsidP="005F43B6">
      <w:pPr>
        <w:rPr>
          <w:rFonts w:ascii="Arial" w:hAnsi="Arial"/>
          <w:b/>
          <w:szCs w:val="20"/>
          <w:lang w:val="en-GB"/>
        </w:rPr>
      </w:pPr>
    </w:p>
    <w:p w:rsidR="005F43B6" w:rsidRPr="005F43B6" w:rsidRDefault="005F43B6" w:rsidP="005F43B6">
      <w:pPr>
        <w:rPr>
          <w:rFonts w:ascii="Arial" w:hAnsi="Arial"/>
          <w:szCs w:val="20"/>
          <w:lang w:val="en-GB"/>
        </w:rPr>
      </w:pPr>
      <w:r w:rsidRPr="005F43B6">
        <w:rPr>
          <w:rFonts w:ascii="Arial" w:hAnsi="Arial"/>
          <w:b/>
          <w:szCs w:val="20"/>
          <w:lang w:val="en-GB"/>
        </w:rPr>
        <w:lastRenderedPageBreak/>
        <w:t>Municipalities underspending</w:t>
      </w:r>
    </w:p>
    <w:p w:rsidR="005F43B6" w:rsidRDefault="005F43B6" w:rsidP="005F43B6">
      <w:pPr>
        <w:rPr>
          <w:rFonts w:ascii="Arial" w:hAnsi="Arial"/>
          <w:szCs w:val="20"/>
          <w:lang w:val="en-GB"/>
        </w:rPr>
      </w:pPr>
      <w:r w:rsidRPr="005F43B6">
        <w:rPr>
          <w:rFonts w:ascii="Arial" w:hAnsi="Arial"/>
          <w:szCs w:val="20"/>
          <w:lang w:val="en-GB"/>
        </w:rPr>
        <w:t>Spending by the three spheres of government in KwaZulu-Natal is held back by underspending of around 16% by the province's municipalities. This, combined with very low real growth in spending meant that the government index declined 4.1% year-on-year despite the fact t</w:t>
      </w:r>
      <w:r w:rsidR="00DB2505">
        <w:rPr>
          <w:rFonts w:ascii="Arial" w:hAnsi="Arial"/>
          <w:szCs w:val="20"/>
          <w:lang w:val="en-GB"/>
        </w:rPr>
        <w:t>hat the central government spent</w:t>
      </w:r>
      <w:r w:rsidRPr="005F43B6">
        <w:rPr>
          <w:rFonts w:ascii="Arial" w:hAnsi="Arial"/>
          <w:szCs w:val="20"/>
          <w:lang w:val="en-GB"/>
        </w:rPr>
        <w:t xml:space="preserve"> 11% more. In many cases the government seem</w:t>
      </w:r>
      <w:r w:rsidR="00B21D0C">
        <w:rPr>
          <w:rFonts w:ascii="Arial" w:hAnsi="Arial"/>
          <w:szCs w:val="20"/>
          <w:lang w:val="en-GB"/>
        </w:rPr>
        <w:t>s</w:t>
      </w:r>
      <w:r w:rsidRPr="005F43B6">
        <w:rPr>
          <w:rFonts w:ascii="Arial" w:hAnsi="Arial"/>
          <w:szCs w:val="20"/>
          <w:lang w:val="en-GB"/>
        </w:rPr>
        <w:t xml:space="preserve"> to spend all its money in the last quarter of the fiscal year through March and then spending dr</w:t>
      </w:r>
      <w:r w:rsidR="0028043A">
        <w:rPr>
          <w:rFonts w:ascii="Arial" w:hAnsi="Arial"/>
          <w:szCs w:val="20"/>
          <w:lang w:val="en-GB"/>
        </w:rPr>
        <w:t>ies</w:t>
      </w:r>
      <w:r w:rsidRPr="005F43B6">
        <w:rPr>
          <w:rFonts w:ascii="Arial" w:hAnsi="Arial"/>
          <w:szCs w:val="20"/>
          <w:lang w:val="en-GB"/>
        </w:rPr>
        <w:t xml:space="preserve"> up in the new financial year. The problem is that the spending isn't even throughout the year, specifically in the municipalities, and they seem to not be spending all the money that they get from the central government. This is of great concern and is influencing the whole of the economy. </w:t>
      </w:r>
    </w:p>
    <w:p w:rsidR="005F43B6" w:rsidRDefault="005F43B6" w:rsidP="005F43B6">
      <w:pPr>
        <w:rPr>
          <w:rFonts w:ascii="Arial" w:hAnsi="Arial"/>
          <w:szCs w:val="20"/>
          <w:lang w:val="en-GB"/>
        </w:rPr>
      </w:pPr>
    </w:p>
    <w:p w:rsidR="005F43B6" w:rsidRDefault="005F43B6" w:rsidP="005F43B6">
      <w:pPr>
        <w:rPr>
          <w:rFonts w:ascii="Arial" w:hAnsi="Arial"/>
          <w:szCs w:val="20"/>
          <w:lang w:val="en-GB"/>
        </w:rPr>
      </w:pPr>
      <w:r w:rsidRPr="005F43B6">
        <w:rPr>
          <w:rFonts w:ascii="Arial" w:hAnsi="Arial"/>
          <w:b/>
          <w:szCs w:val="20"/>
          <w:lang w:val="en-GB"/>
        </w:rPr>
        <w:t>Construction worries</w:t>
      </w:r>
    </w:p>
    <w:p w:rsidR="005F43B6" w:rsidRDefault="005F43B6" w:rsidP="005F43B6">
      <w:pPr>
        <w:rPr>
          <w:rFonts w:ascii="Arial" w:hAnsi="Arial"/>
          <w:b/>
          <w:szCs w:val="20"/>
          <w:lang w:val="en-GB"/>
        </w:rPr>
      </w:pPr>
      <w:r w:rsidRPr="005F43B6">
        <w:rPr>
          <w:rFonts w:ascii="Arial" w:hAnsi="Arial"/>
          <w:szCs w:val="20"/>
          <w:lang w:val="en-GB"/>
        </w:rPr>
        <w:t>The slump in government s</w:t>
      </w:r>
      <w:r w:rsidR="0028043A">
        <w:rPr>
          <w:rFonts w:ascii="Arial" w:hAnsi="Arial"/>
          <w:szCs w:val="20"/>
          <w:lang w:val="en-GB"/>
        </w:rPr>
        <w:t>pending, along with the decline</w:t>
      </w:r>
      <w:r w:rsidRPr="005F43B6">
        <w:rPr>
          <w:rFonts w:ascii="Arial" w:hAnsi="Arial"/>
          <w:szCs w:val="20"/>
          <w:lang w:val="en-GB"/>
        </w:rPr>
        <w:t xml:space="preserve"> in construction is of great concern as it points to worries about the longer term future of the South African and KwaZulu-Natal economy because people are holding ba</w:t>
      </w:r>
      <w:r w:rsidR="007B7B78">
        <w:rPr>
          <w:rFonts w:ascii="Arial" w:hAnsi="Arial"/>
          <w:szCs w:val="20"/>
          <w:lang w:val="en-GB"/>
        </w:rPr>
        <w:t xml:space="preserve">ck on big, expensive projects. </w:t>
      </w:r>
      <w:r w:rsidRPr="005F43B6">
        <w:rPr>
          <w:rFonts w:ascii="Arial" w:hAnsi="Arial"/>
          <w:szCs w:val="20"/>
          <w:lang w:val="en-GB"/>
        </w:rPr>
        <w:t xml:space="preserve">The construction index declined 3.8% year-on-year and while it increased 1.5% month-on-month, it was down 1.6% on the previous quarter. Buildings completed declined by 12.5%, which reflects the lack of positive movement in the property cycle. </w:t>
      </w:r>
    </w:p>
    <w:p w:rsidR="005F43B6" w:rsidRDefault="005F43B6" w:rsidP="005F43B6">
      <w:pPr>
        <w:rPr>
          <w:rFonts w:ascii="Arial" w:hAnsi="Arial"/>
          <w:b/>
          <w:szCs w:val="20"/>
          <w:lang w:val="en-GB"/>
        </w:rPr>
      </w:pPr>
    </w:p>
    <w:p w:rsidR="005F43B6" w:rsidRDefault="005F43B6" w:rsidP="005F43B6">
      <w:pPr>
        <w:rPr>
          <w:rFonts w:ascii="Arial" w:hAnsi="Arial"/>
          <w:szCs w:val="20"/>
          <w:lang w:val="en-GB"/>
        </w:rPr>
      </w:pPr>
      <w:r w:rsidRPr="005F43B6">
        <w:rPr>
          <w:rFonts w:ascii="Arial" w:hAnsi="Arial"/>
          <w:b/>
          <w:szCs w:val="20"/>
          <w:lang w:val="en-GB"/>
        </w:rPr>
        <w:t>Banks still demanding high deposits</w:t>
      </w:r>
    </w:p>
    <w:p w:rsidR="005F43B6" w:rsidRDefault="005F43B6" w:rsidP="005F43B6">
      <w:pPr>
        <w:rPr>
          <w:rFonts w:ascii="Arial" w:hAnsi="Arial"/>
          <w:b/>
          <w:szCs w:val="20"/>
          <w:lang w:val="en-GB"/>
        </w:rPr>
      </w:pPr>
      <w:r w:rsidRPr="005F43B6">
        <w:rPr>
          <w:rFonts w:ascii="Arial" w:hAnsi="Arial"/>
          <w:szCs w:val="20"/>
          <w:lang w:val="en-GB"/>
        </w:rPr>
        <w:t>The KwaZulu-Natal finance, real estate and business services index grew 0.2% year-on-year after the previous month's 1.5% decline. Property transfers grew 0.5% after six months of decline. Mortgages were down 2.7% from a year ago, which indicates that banks are still demanding higher deposits from buyers. It's very diffi</w:t>
      </w:r>
      <w:r w:rsidR="007B7B78">
        <w:rPr>
          <w:rFonts w:ascii="Arial" w:hAnsi="Arial"/>
          <w:szCs w:val="20"/>
          <w:lang w:val="en-GB"/>
        </w:rPr>
        <w:t>cult to see how the huge number</w:t>
      </w:r>
      <w:r w:rsidRPr="005F43B6">
        <w:rPr>
          <w:rFonts w:ascii="Arial" w:hAnsi="Arial"/>
          <w:szCs w:val="20"/>
          <w:lang w:val="en-GB"/>
        </w:rPr>
        <w:t xml:space="preserve"> of strikes and the potentially higher interest rates will later be good for the construction in</w:t>
      </w:r>
      <w:r w:rsidR="007B7B78">
        <w:rPr>
          <w:rFonts w:ascii="Arial" w:hAnsi="Arial"/>
          <w:szCs w:val="20"/>
          <w:lang w:val="en-GB"/>
        </w:rPr>
        <w:t xml:space="preserve">dustry and real estate market. </w:t>
      </w:r>
      <w:r w:rsidRPr="005F43B6">
        <w:rPr>
          <w:rFonts w:ascii="Arial" w:hAnsi="Arial"/>
          <w:szCs w:val="20"/>
          <w:lang w:val="en-GB"/>
        </w:rPr>
        <w:t>Durable goods are still going to be under pressure, probably for the rest of the year. Advertising grew 0.2% after the previous month's 12.8% increase. This shows retailers are probably starting to use advertising to lure customers back into the shops because they want their share of a smaller pie.</w:t>
      </w:r>
      <w:r w:rsidRPr="005F43B6">
        <w:rPr>
          <w:rFonts w:ascii="Arial" w:hAnsi="Arial"/>
          <w:b/>
          <w:szCs w:val="20"/>
          <w:lang w:val="en-GB"/>
        </w:rPr>
        <w:t xml:space="preserve"> </w:t>
      </w:r>
    </w:p>
    <w:p w:rsidR="005F43B6" w:rsidRDefault="005F43B6" w:rsidP="005F43B6">
      <w:pPr>
        <w:rPr>
          <w:rFonts w:ascii="Arial" w:hAnsi="Arial"/>
          <w:b/>
          <w:szCs w:val="20"/>
          <w:lang w:val="en-GB"/>
        </w:rPr>
      </w:pPr>
    </w:p>
    <w:p w:rsidR="005F43B6" w:rsidRDefault="005F43B6" w:rsidP="005F43B6">
      <w:pPr>
        <w:rPr>
          <w:rFonts w:ascii="Arial" w:hAnsi="Arial"/>
          <w:szCs w:val="20"/>
          <w:lang w:val="en-GB"/>
        </w:rPr>
      </w:pPr>
      <w:r w:rsidRPr="005F43B6">
        <w:rPr>
          <w:rFonts w:ascii="Arial" w:hAnsi="Arial"/>
          <w:b/>
          <w:szCs w:val="20"/>
          <w:lang w:val="en-GB"/>
        </w:rPr>
        <w:t>Trade suffering from low confidence</w:t>
      </w:r>
    </w:p>
    <w:p w:rsidR="005F43B6" w:rsidRDefault="005F43B6" w:rsidP="005F43B6">
      <w:pPr>
        <w:rPr>
          <w:rFonts w:ascii="Arial" w:hAnsi="Arial"/>
          <w:szCs w:val="20"/>
          <w:lang w:val="en-GB"/>
        </w:rPr>
      </w:pPr>
      <w:r w:rsidRPr="005F43B6">
        <w:rPr>
          <w:rFonts w:ascii="Arial" w:hAnsi="Arial"/>
          <w:szCs w:val="20"/>
          <w:lang w:val="en-GB"/>
        </w:rPr>
        <w:t>The trade index shows the effect of lower business and consumer confidence on the willingness to spend money on durable goods. The index declined 1.1% year-on-year and was also down on a month-on-month and quarter-on-quarter basis. Retail sales declined 0.6%, and vehicles sales 11.7%. While vehicle sales probably looked better in June than in May, the trend remains negative and has been negative for nine months in a row. The business of hotels and restaurants has been in decline for 27 months now and petrol sales declined by 3.2%. Petrol sales have been down for the whole of South Africa for several months, an indicator of consumer stress. The combined effects of higher petrol prices and better fuel efficiency leads to less petrol sales, which shows that consumers are very careful about how they spend their money. Wholesale s</w:t>
      </w:r>
      <w:r w:rsidR="00F80359">
        <w:rPr>
          <w:rFonts w:ascii="Arial" w:hAnsi="Arial"/>
          <w:szCs w:val="20"/>
          <w:lang w:val="en-GB"/>
        </w:rPr>
        <w:t>t</w:t>
      </w:r>
      <w:r w:rsidRPr="005F43B6">
        <w:rPr>
          <w:rFonts w:ascii="Arial" w:hAnsi="Arial"/>
          <w:szCs w:val="20"/>
          <w:lang w:val="en-GB"/>
        </w:rPr>
        <w:t xml:space="preserve">ill grew by 7.8%, but wholesale sales will include sales to other African countries and pre-arranged contract sales </w:t>
      </w:r>
      <w:r w:rsidR="00F80359">
        <w:rPr>
          <w:rFonts w:ascii="Arial" w:hAnsi="Arial"/>
          <w:szCs w:val="20"/>
          <w:lang w:val="en-GB"/>
        </w:rPr>
        <w:t xml:space="preserve">which are difficult to capture. </w:t>
      </w:r>
      <w:r w:rsidRPr="005F43B6">
        <w:rPr>
          <w:rFonts w:ascii="Arial" w:hAnsi="Arial"/>
          <w:szCs w:val="20"/>
          <w:lang w:val="en-GB"/>
        </w:rPr>
        <w:t xml:space="preserve">Ultimately the consumer in KwaZulu-Natal and South Africa has now </w:t>
      </w:r>
      <w:r w:rsidR="00F80359">
        <w:rPr>
          <w:rFonts w:ascii="Arial" w:hAnsi="Arial"/>
          <w:szCs w:val="20"/>
          <w:lang w:val="en-GB"/>
        </w:rPr>
        <w:t>come under tremendous pressure.</w:t>
      </w:r>
      <w:r w:rsidRPr="005F43B6">
        <w:rPr>
          <w:rFonts w:ascii="Arial" w:hAnsi="Arial"/>
          <w:szCs w:val="20"/>
          <w:lang w:val="en-GB"/>
        </w:rPr>
        <w:t xml:space="preserve"> One of the reasons is that money being sent home from the mines has diminished and it will take a few months before it comes back to normality.  </w:t>
      </w:r>
    </w:p>
    <w:p w:rsidR="00421A3B" w:rsidRDefault="00421A3B" w:rsidP="005F43B6">
      <w:pPr>
        <w:rPr>
          <w:rFonts w:ascii="Arial" w:hAnsi="Arial"/>
          <w:szCs w:val="20"/>
          <w:lang w:val="en-GB"/>
        </w:rPr>
      </w:pPr>
    </w:p>
    <w:p w:rsidR="005F43B6" w:rsidRDefault="005F43B6" w:rsidP="005F43B6">
      <w:pPr>
        <w:rPr>
          <w:rFonts w:ascii="Arial" w:hAnsi="Arial"/>
          <w:b/>
          <w:szCs w:val="20"/>
          <w:lang w:val="en-GB"/>
        </w:rPr>
      </w:pPr>
      <w:r w:rsidRPr="005F43B6">
        <w:rPr>
          <w:rFonts w:ascii="Arial" w:hAnsi="Arial"/>
          <w:b/>
          <w:szCs w:val="20"/>
          <w:lang w:val="en-GB"/>
        </w:rPr>
        <w:lastRenderedPageBreak/>
        <w:t>Communications growing</w:t>
      </w:r>
    </w:p>
    <w:p w:rsidR="005F43B6" w:rsidRDefault="005F43B6" w:rsidP="005F43B6">
      <w:pPr>
        <w:rPr>
          <w:rFonts w:ascii="Arial" w:hAnsi="Arial"/>
          <w:szCs w:val="20"/>
          <w:lang w:val="en-GB"/>
        </w:rPr>
      </w:pPr>
      <w:r w:rsidRPr="005F43B6">
        <w:rPr>
          <w:rFonts w:ascii="Arial" w:hAnsi="Arial"/>
          <w:szCs w:val="20"/>
          <w:lang w:val="en-GB"/>
        </w:rPr>
        <w:t>The KwaZulu-Natal transport and communication index grew 7.7% year-on-year, 0.4% month-on-month and 2.1% quarter-on-quarter. This was mainly driven by the 19.9% increase in communications as people buy equipment like routers and smart phones to access the internet.</w:t>
      </w:r>
      <w:r>
        <w:rPr>
          <w:rFonts w:ascii="Arial" w:hAnsi="Arial"/>
          <w:szCs w:val="20"/>
          <w:lang w:val="en-GB"/>
        </w:rPr>
        <w:t xml:space="preserve"> </w:t>
      </w:r>
      <w:r w:rsidRPr="005F43B6">
        <w:rPr>
          <w:rFonts w:ascii="Arial" w:hAnsi="Arial"/>
          <w:szCs w:val="20"/>
          <w:lang w:val="en-GB"/>
        </w:rPr>
        <w:t>Passenger arrivals at the King Shaka International Airport declined by 3.9%</w:t>
      </w:r>
      <w:r>
        <w:rPr>
          <w:rFonts w:ascii="Arial" w:hAnsi="Arial"/>
          <w:szCs w:val="20"/>
          <w:lang w:val="en-GB"/>
        </w:rPr>
        <w:t xml:space="preserve">. </w:t>
      </w:r>
      <w:r w:rsidRPr="005F43B6">
        <w:rPr>
          <w:rFonts w:ascii="Arial" w:hAnsi="Arial"/>
          <w:szCs w:val="20"/>
          <w:lang w:val="en-GB"/>
        </w:rPr>
        <w:t xml:space="preserve">Less people are probably using airlines and rather using land transport to reduce costs. However, land transport also declined, by 0.5%. The volume of cargo handled by the province's two ports declined by 4.1%. The power outages earlier in the year have given port activity a bit of a knock, but there should be some recovery in coming months, especially in Richards Bay due to increased exports of coal, barring any negative events like more strikes. </w:t>
      </w:r>
    </w:p>
    <w:p w:rsidR="005F43B6" w:rsidRDefault="005F43B6" w:rsidP="005F43B6">
      <w:pPr>
        <w:rPr>
          <w:rFonts w:ascii="Arial" w:hAnsi="Arial"/>
          <w:b/>
          <w:szCs w:val="20"/>
          <w:lang w:val="en-GB"/>
        </w:rPr>
      </w:pPr>
    </w:p>
    <w:p w:rsidR="005F43B6" w:rsidRPr="005F43B6" w:rsidRDefault="005F43B6" w:rsidP="005F43B6">
      <w:pPr>
        <w:rPr>
          <w:rFonts w:ascii="Arial" w:hAnsi="Arial"/>
          <w:b/>
          <w:szCs w:val="20"/>
          <w:lang w:val="en-GB"/>
        </w:rPr>
      </w:pPr>
      <w:r w:rsidRPr="005F43B6">
        <w:rPr>
          <w:rFonts w:ascii="Arial" w:hAnsi="Arial"/>
          <w:b/>
          <w:szCs w:val="20"/>
          <w:lang w:val="en-GB"/>
        </w:rPr>
        <w:t>Electricity use increase</w:t>
      </w:r>
      <w:r w:rsidR="00307C69">
        <w:rPr>
          <w:rFonts w:ascii="Arial" w:hAnsi="Arial"/>
          <w:b/>
          <w:szCs w:val="20"/>
          <w:lang w:val="en-GB"/>
        </w:rPr>
        <w:t>d</w:t>
      </w:r>
      <w:r w:rsidRPr="005F43B6">
        <w:rPr>
          <w:rFonts w:ascii="Arial" w:hAnsi="Arial"/>
          <w:b/>
          <w:szCs w:val="20"/>
          <w:lang w:val="en-GB"/>
        </w:rPr>
        <w:t xml:space="preserve"> despite load shedding</w:t>
      </w:r>
    </w:p>
    <w:p w:rsidR="005F43B6" w:rsidRDefault="005F43B6" w:rsidP="005F43B6">
      <w:pPr>
        <w:rPr>
          <w:rFonts w:ascii="Arial" w:hAnsi="Arial"/>
          <w:szCs w:val="20"/>
          <w:lang w:val="en-GB"/>
        </w:rPr>
      </w:pPr>
      <w:r w:rsidRPr="005F43B6">
        <w:rPr>
          <w:rFonts w:ascii="Arial" w:hAnsi="Arial"/>
          <w:szCs w:val="20"/>
          <w:lang w:val="en-GB"/>
        </w:rPr>
        <w:t>Despite the earlier power outages due to load shedding, the electricity index grew 2.7% on a year ago, higher than the country's average increases. This shows that some businesses in KwaZulu-Natal are using the power that the Bayside aluminium smelter usually uses.</w:t>
      </w:r>
    </w:p>
    <w:p w:rsidR="005F43B6" w:rsidRDefault="005F43B6" w:rsidP="005F43B6">
      <w:pPr>
        <w:rPr>
          <w:rFonts w:ascii="Arial" w:hAnsi="Arial"/>
          <w:szCs w:val="20"/>
          <w:lang w:val="en-GB"/>
        </w:rPr>
      </w:pPr>
    </w:p>
    <w:p w:rsidR="005F43B6" w:rsidRDefault="005F43B6" w:rsidP="005F43B6">
      <w:pPr>
        <w:rPr>
          <w:rFonts w:ascii="Arial" w:hAnsi="Arial"/>
          <w:szCs w:val="20"/>
          <w:lang w:val="en-GB"/>
        </w:rPr>
      </w:pPr>
      <w:r w:rsidRPr="005F43B6">
        <w:rPr>
          <w:rFonts w:ascii="Arial" w:hAnsi="Arial"/>
          <w:b/>
          <w:szCs w:val="20"/>
          <w:lang w:val="en-GB"/>
        </w:rPr>
        <w:t>Manufacturing growth slowest in five months</w:t>
      </w:r>
    </w:p>
    <w:p w:rsidR="005F43B6" w:rsidRDefault="005F43B6" w:rsidP="005F43B6">
      <w:pPr>
        <w:rPr>
          <w:rFonts w:ascii="Arial" w:hAnsi="Arial"/>
          <w:szCs w:val="20"/>
          <w:lang w:val="en-GB"/>
        </w:rPr>
      </w:pPr>
      <w:r w:rsidRPr="005F43B6">
        <w:rPr>
          <w:rFonts w:ascii="Arial" w:hAnsi="Arial"/>
          <w:szCs w:val="20"/>
          <w:lang w:val="en-GB"/>
        </w:rPr>
        <w:t>The manufacturing index grew 0.2% year-on-year, the slowest in five months, and was negative month-on-month and quarter-on-quarter. However, the performance of KwaZulu-Natal's factories will most likely not be as dismal as some other sectors of the provincial economy. Data from Statistics South Africa show manufacturing has been performing better than expected, but on the whole the sector's output will probably get a lot worse before it recovers again.</w:t>
      </w:r>
    </w:p>
    <w:p w:rsidR="00421A3B" w:rsidRDefault="00421A3B" w:rsidP="005F43B6">
      <w:pPr>
        <w:rPr>
          <w:rFonts w:ascii="Arial" w:hAnsi="Arial"/>
          <w:szCs w:val="20"/>
          <w:lang w:val="en-GB"/>
        </w:rPr>
      </w:pPr>
    </w:p>
    <w:p w:rsidR="005F43B6" w:rsidRDefault="005F43B6" w:rsidP="005F43B6">
      <w:pPr>
        <w:rPr>
          <w:rFonts w:ascii="Arial" w:hAnsi="Arial"/>
          <w:szCs w:val="20"/>
          <w:lang w:val="en-GB"/>
        </w:rPr>
      </w:pPr>
      <w:r w:rsidRPr="005F43B6">
        <w:rPr>
          <w:rFonts w:ascii="Arial" w:hAnsi="Arial"/>
          <w:b/>
          <w:szCs w:val="20"/>
          <w:lang w:val="en-GB"/>
        </w:rPr>
        <w:t>Agriculture going against trend</w:t>
      </w:r>
    </w:p>
    <w:p w:rsidR="005F43B6" w:rsidRDefault="005F43B6" w:rsidP="005F43B6">
      <w:pPr>
        <w:rPr>
          <w:rFonts w:ascii="Arial" w:hAnsi="Arial"/>
          <w:szCs w:val="20"/>
          <w:lang w:val="en-GB"/>
        </w:rPr>
      </w:pPr>
      <w:r w:rsidRPr="005F43B6">
        <w:rPr>
          <w:rFonts w:ascii="Arial" w:hAnsi="Arial"/>
          <w:szCs w:val="20"/>
          <w:lang w:val="en-GB"/>
        </w:rPr>
        <w:t>The one bright spot in the KwaZulu-Natal economy is agriculture, which seems to be going against the trend as it follows its own cycle. The agriculture</w:t>
      </w:r>
      <w:r w:rsidR="00307C69">
        <w:rPr>
          <w:rFonts w:ascii="Arial" w:hAnsi="Arial"/>
          <w:szCs w:val="20"/>
          <w:lang w:val="en-GB"/>
        </w:rPr>
        <w:t xml:space="preserve"> index grew 7.7% year-on-year. </w:t>
      </w:r>
      <w:r w:rsidRPr="005F43B6">
        <w:rPr>
          <w:rFonts w:ascii="Arial" w:hAnsi="Arial"/>
          <w:szCs w:val="20"/>
          <w:lang w:val="en-GB"/>
        </w:rPr>
        <w:t>This was driven by a 6% increase in sugar cane crushed, a 14% increase in meat production and a 35% increase in field</w:t>
      </w:r>
      <w:r w:rsidR="00307C69">
        <w:rPr>
          <w:rFonts w:ascii="Arial" w:hAnsi="Arial"/>
          <w:szCs w:val="20"/>
          <w:lang w:val="en-GB"/>
        </w:rPr>
        <w:t xml:space="preserve"> crops. </w:t>
      </w:r>
      <w:r w:rsidR="0014790D">
        <w:rPr>
          <w:rFonts w:ascii="Arial" w:hAnsi="Arial"/>
          <w:szCs w:val="20"/>
          <w:lang w:val="en-GB"/>
        </w:rPr>
        <w:t>Forestry, which showed no</w:t>
      </w:r>
      <w:r w:rsidRPr="005F43B6">
        <w:rPr>
          <w:rFonts w:ascii="Arial" w:hAnsi="Arial"/>
          <w:szCs w:val="20"/>
          <w:lang w:val="en-GB"/>
        </w:rPr>
        <w:t xml:space="preserve"> change, was the only drawback for the agriculture index. </w:t>
      </w:r>
    </w:p>
    <w:p w:rsidR="005F43B6" w:rsidRDefault="005F43B6" w:rsidP="005F43B6">
      <w:pPr>
        <w:rPr>
          <w:rFonts w:ascii="Arial" w:hAnsi="Arial"/>
          <w:b/>
          <w:szCs w:val="20"/>
          <w:lang w:val="en-GB"/>
        </w:rPr>
      </w:pPr>
    </w:p>
    <w:p w:rsidR="005F43B6" w:rsidRDefault="005F43B6" w:rsidP="005F43B6">
      <w:pPr>
        <w:rPr>
          <w:rFonts w:ascii="Arial" w:hAnsi="Arial"/>
          <w:szCs w:val="20"/>
          <w:lang w:val="en-GB"/>
        </w:rPr>
      </w:pPr>
      <w:r w:rsidRPr="005F43B6">
        <w:rPr>
          <w:rFonts w:ascii="Arial" w:hAnsi="Arial"/>
          <w:b/>
          <w:szCs w:val="20"/>
          <w:lang w:val="en-GB"/>
        </w:rPr>
        <w:t>Coal support</w:t>
      </w:r>
      <w:r w:rsidR="00D75117">
        <w:rPr>
          <w:rFonts w:ascii="Arial" w:hAnsi="Arial"/>
          <w:b/>
          <w:szCs w:val="20"/>
          <w:lang w:val="en-GB"/>
        </w:rPr>
        <w:t>s</w:t>
      </w:r>
      <w:r w:rsidRPr="005F43B6">
        <w:rPr>
          <w:rFonts w:ascii="Arial" w:hAnsi="Arial"/>
          <w:b/>
          <w:szCs w:val="20"/>
          <w:lang w:val="en-GB"/>
        </w:rPr>
        <w:t xml:space="preserve"> mining index</w:t>
      </w:r>
    </w:p>
    <w:p w:rsidR="00FB0F93" w:rsidRDefault="005F43B6" w:rsidP="005F43B6">
      <w:pPr>
        <w:rPr>
          <w:rFonts w:ascii="Arial" w:hAnsi="Arial"/>
          <w:szCs w:val="20"/>
          <w:lang w:val="en-GB"/>
        </w:rPr>
      </w:pPr>
      <w:r w:rsidRPr="005F43B6">
        <w:rPr>
          <w:rFonts w:ascii="Arial" w:hAnsi="Arial"/>
          <w:szCs w:val="20"/>
          <w:lang w:val="en-GB"/>
        </w:rPr>
        <w:t>The other primary sector in KwaZulu-Natal, mining, increased by 0.7%. Due to the weight of coal in the province's mining index, the index continued to grow and did not follow the same downward spiral as in provinces like Limpopo and the North West, where mining output was hit directly by the platinum strike.</w:t>
      </w:r>
      <w:bookmarkStart w:id="0" w:name="_GoBack"/>
      <w:bookmarkEnd w:id="0"/>
      <w:r w:rsidRPr="005F43B6">
        <w:rPr>
          <w:rFonts w:ascii="Arial" w:hAnsi="Arial"/>
          <w:szCs w:val="20"/>
          <w:lang w:val="en-GB"/>
        </w:rPr>
        <w:t xml:space="preserve"> </w:t>
      </w:r>
    </w:p>
    <w:p w:rsidR="005F43B6" w:rsidRPr="005F43B6" w:rsidRDefault="005F43B6" w:rsidP="005F43B6">
      <w:pPr>
        <w:rPr>
          <w:rFonts w:ascii="Arial" w:hAnsi="Arial"/>
          <w:b/>
          <w:bCs/>
          <w:szCs w:val="20"/>
        </w:rPr>
      </w:pPr>
    </w:p>
    <w:p w:rsidR="00421A3B" w:rsidRDefault="00421A3B" w:rsidP="00C34897">
      <w:pPr>
        <w:widowControl w:val="0"/>
        <w:jc w:val="left"/>
        <w:rPr>
          <w:rFonts w:ascii="Arial" w:hAnsi="Arial"/>
          <w:b/>
          <w:bCs/>
          <w:szCs w:val="20"/>
        </w:rPr>
      </w:pPr>
    </w:p>
    <w:p w:rsidR="00421A3B" w:rsidRDefault="00421A3B" w:rsidP="00C34897">
      <w:pPr>
        <w:widowControl w:val="0"/>
        <w:jc w:val="left"/>
        <w:rPr>
          <w:rFonts w:ascii="Arial" w:hAnsi="Arial"/>
          <w:b/>
          <w:bCs/>
          <w:szCs w:val="20"/>
        </w:rPr>
      </w:pPr>
    </w:p>
    <w:p w:rsidR="00421A3B" w:rsidRDefault="00421A3B" w:rsidP="00C34897">
      <w:pPr>
        <w:widowControl w:val="0"/>
        <w:jc w:val="left"/>
        <w:rPr>
          <w:rFonts w:ascii="Arial" w:hAnsi="Arial"/>
          <w:b/>
          <w:bCs/>
          <w:szCs w:val="20"/>
        </w:rPr>
      </w:pPr>
    </w:p>
    <w:p w:rsidR="00421A3B" w:rsidRDefault="00421A3B" w:rsidP="00C34897">
      <w:pPr>
        <w:widowControl w:val="0"/>
        <w:jc w:val="left"/>
        <w:rPr>
          <w:rFonts w:ascii="Arial" w:hAnsi="Arial"/>
          <w:b/>
          <w:bCs/>
          <w:szCs w:val="20"/>
        </w:rPr>
      </w:pPr>
    </w:p>
    <w:p w:rsidR="00421A3B" w:rsidRDefault="00421A3B" w:rsidP="00C34897">
      <w:pPr>
        <w:widowControl w:val="0"/>
        <w:jc w:val="left"/>
        <w:rPr>
          <w:rFonts w:ascii="Arial" w:hAnsi="Arial"/>
          <w:b/>
          <w:bCs/>
          <w:szCs w:val="20"/>
        </w:rPr>
      </w:pPr>
    </w:p>
    <w:p w:rsidR="00400F91" w:rsidRPr="00C34897" w:rsidRDefault="001A473C" w:rsidP="00C34897">
      <w:pPr>
        <w:widowControl w:val="0"/>
        <w:jc w:val="left"/>
        <w:rPr>
          <w:rFonts w:ascii="Arial" w:eastAsia="Calibri" w:hAnsi="Arial"/>
          <w:color w:val="auto"/>
          <w:szCs w:val="20"/>
          <w:lang w:val="en-GB"/>
        </w:rPr>
      </w:pPr>
      <w:r>
        <w:rPr>
          <w:rFonts w:ascii="Arial" w:hAnsi="Arial"/>
          <w:b/>
          <w:lang w:val="en-GB"/>
        </w:rPr>
        <w:lastRenderedPageBreak/>
        <w:t>Results Table:</w:t>
      </w:r>
      <w:r w:rsidR="00405D35">
        <w:rPr>
          <w:rFonts w:ascii="Arial" w:hAnsi="Arial"/>
          <w:b/>
          <w:lang w:val="en-GB"/>
        </w:rPr>
        <w:t xml:space="preserve"> </w:t>
      </w:r>
      <w:r w:rsidR="005F43B6">
        <w:rPr>
          <w:rFonts w:ascii="Arial" w:hAnsi="Arial"/>
          <w:b/>
          <w:lang w:val="en-GB"/>
        </w:rPr>
        <w:t>May</w:t>
      </w:r>
      <w:r w:rsidR="00400F91" w:rsidRPr="00400F91">
        <w:rPr>
          <w:rFonts w:ascii="Arial" w:hAnsi="Arial"/>
          <w:b/>
          <w:lang w:val="en-GB"/>
        </w:rPr>
        <w:t xml:space="preserve"> 201</w:t>
      </w:r>
      <w:r w:rsidR="00405D35">
        <w:rPr>
          <w:rFonts w:ascii="Arial" w:hAnsi="Arial"/>
          <w:b/>
          <w:lang w:val="en-GB"/>
        </w:rPr>
        <w:t>4</w:t>
      </w:r>
    </w:p>
    <w:p w:rsidR="00454BB1" w:rsidRPr="00816183" w:rsidRDefault="00421A3B" w:rsidP="0078035C">
      <w:pPr>
        <w:spacing w:before="100" w:beforeAutospacing="1" w:after="100" w:afterAutospacing="1" w:line="240" w:lineRule="auto"/>
        <w:rPr>
          <w:rFonts w:ascii="Arial" w:hAnsi="Arial"/>
          <w:lang w:val="en-GB"/>
        </w:rPr>
      </w:pPr>
      <w:r w:rsidRPr="00421A3B">
        <w:rPr>
          <w:noProof/>
          <w:lang w:val="en-ZA" w:eastAsia="en-ZA"/>
        </w:rPr>
        <w:drawing>
          <wp:inline distT="0" distB="0" distL="0" distR="0">
            <wp:extent cx="6480810" cy="2469646"/>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80810" cy="2469646"/>
                    </a:xfrm>
                    <a:prstGeom prst="rect">
                      <a:avLst/>
                    </a:prstGeom>
                    <a:noFill/>
                    <a:ln>
                      <a:noFill/>
                    </a:ln>
                  </pic:spPr>
                </pic:pic>
              </a:graphicData>
            </a:graphic>
          </wp:inline>
        </w:drawing>
      </w:r>
      <w:r w:rsidR="00400F91" w:rsidRPr="00400F91">
        <w:rPr>
          <w:rFonts w:ascii="Arial" w:hAnsi="Arial"/>
          <w:lang w:val="en-GB"/>
        </w:rPr>
        <w:t xml:space="preserve"> </w:t>
      </w:r>
    </w:p>
    <w:sectPr w:rsidR="00454BB1" w:rsidRPr="00816183"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BC7" w:rsidRDefault="00127BC7" w:rsidP="005A53F9">
      <w:pPr>
        <w:spacing w:line="240" w:lineRule="auto"/>
      </w:pPr>
      <w:r>
        <w:separator/>
      </w:r>
    </w:p>
  </w:endnote>
  <w:endnote w:type="continuationSeparator" w:id="0">
    <w:p w:rsidR="00127BC7" w:rsidRDefault="00127BC7"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10D" w:rsidRDefault="0093610D">
    <w:pPr>
      <w:pStyle w:val="Footer"/>
    </w:pPr>
  </w:p>
  <w:p w:rsidR="00704A22" w:rsidRDefault="00643B62">
    <w:pPr>
      <w:pStyle w:val="Footer"/>
    </w:pPr>
    <w:r>
      <w:rPr>
        <w:noProof/>
        <w:lang w:val="en-ZA" w:eastAsia="en-ZA"/>
      </w:rPr>
      <w:pict>
        <v:shapetype id="_x0000_t32" coordsize="21600,21600" o:spt="32" o:oned="t" path="m,l21600,21600e" filled="f">
          <v:path arrowok="t" fillok="f" o:connecttype="none"/>
          <o:lock v:ext="edit" shapetype="t"/>
        </v:shapetype>
        <v:shape id="AutoShape 6" o:spid="_x0000_s4100" type="#_x0000_t32" style="position:absolute;left:0;text-align:left;margin-left:-3.7pt;margin-top:1.5pt;width:589.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"/>
      </w:pict>
    </w: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04A22" w:rsidRPr="009A05FE"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704A22" w:rsidRDefault="00704A22" w:rsidP="003D2C89">
                <w:pPr>
                  <w:spacing w:line="240" w:lineRule="auto"/>
                  <w:jc w:val="left"/>
                  <w:rPr>
                    <w:rFonts w:eastAsia="Times New Roman" w:cs="Tahoma"/>
                    <w:color w:val="auto"/>
                    <w:sz w:val="16"/>
                    <w:szCs w:val="16"/>
                  </w:rPr>
                </w:pPr>
              </w:p>
              <w:p w:rsidR="00704A22" w:rsidRPr="009A05FE" w:rsidRDefault="00704A22"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704A22" w:rsidRDefault="00704A22"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04A22" w:rsidRPr="009A05FE" w:rsidRDefault="00704A22"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04A22" w:rsidRPr="009A05FE" w:rsidRDefault="00704A22" w:rsidP="00680206">
                <w:pPr>
                  <w:spacing w:line="240" w:lineRule="auto"/>
                  <w:rPr>
                    <w:color w:val="auto"/>
                    <w:sz w:val="16"/>
                    <w:szCs w:val="16"/>
                  </w:rPr>
                </w:pPr>
                <w:r w:rsidRPr="009A05FE">
                  <w:rPr>
                    <w:color w:val="auto"/>
                    <w:sz w:val="16"/>
                    <w:szCs w:val="16"/>
                  </w:rPr>
                  <w:t>Tel: +27 33 264 2500</w:t>
                </w:r>
              </w:p>
              <w:p w:rsidR="00704A22" w:rsidRDefault="00704A22" w:rsidP="00680206">
                <w:pPr>
                  <w:spacing w:line="240" w:lineRule="auto"/>
                  <w:rPr>
                    <w:color w:val="auto"/>
                    <w:sz w:val="16"/>
                    <w:szCs w:val="16"/>
                  </w:rPr>
                </w:pPr>
                <w:r>
                  <w:rPr>
                    <w:color w:val="auto"/>
                    <w:sz w:val="16"/>
                    <w:szCs w:val="16"/>
                  </w:rPr>
                  <w:t>Email: info@kznded.gov.za</w:t>
                </w:r>
              </w:p>
              <w:p w:rsidR="00704A22" w:rsidRPr="009A05FE" w:rsidRDefault="00704A22"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04A22" w:rsidRPr="009A05FE" w:rsidRDefault="00704A22"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04A22" w:rsidRPr="009A05FE" w:rsidRDefault="00704A22"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BC7" w:rsidRDefault="00127BC7" w:rsidP="005A53F9">
      <w:pPr>
        <w:spacing w:line="240" w:lineRule="auto"/>
      </w:pPr>
      <w:r>
        <w:separator/>
      </w:r>
    </w:p>
  </w:footnote>
  <w:footnote w:type="continuationSeparator" w:id="0">
    <w:p w:rsidR="00127BC7" w:rsidRDefault="00127BC7"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BE3431">
    <w:pPr>
      <w:pStyle w:val="Header"/>
    </w:pPr>
    <w:r w:rsidRPr="00DA75F4">
      <w:rPr>
        <w:noProof/>
        <w:lang w:val="en-ZA" w:eastAsia="en-ZA"/>
      </w:rPr>
      <w:drawing>
        <wp:anchor distT="0" distB="0" distL="114300" distR="114300" simplePos="0" relativeHeight="251664384" behindDoc="0" locked="0" layoutInCell="1" allowOverlap="1">
          <wp:simplePos x="0" y="0"/>
          <wp:positionH relativeFrom="column">
            <wp:posOffset>5002530</wp:posOffset>
          </wp:positionH>
          <wp:positionV relativeFrom="paragraph">
            <wp:posOffset>118745</wp:posOffset>
          </wp:positionV>
          <wp:extent cx="2324100" cy="493395"/>
          <wp:effectExtent l="0" t="0" r="0" b="1905"/>
          <wp:wrapSquare wrapText="bothSides"/>
          <wp:docPr id="2"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4100" cy="493395"/>
                  </a:xfrm>
                  <a:prstGeom prst="rect">
                    <a:avLst/>
                  </a:prstGeom>
                  <a:noFill/>
                  <a:ln w="9525">
                    <a:noFill/>
                    <a:miter lim="800000"/>
                    <a:headEnd/>
                    <a:tailEnd/>
                  </a:ln>
                </pic:spPr>
              </pic:pic>
            </a:graphicData>
          </a:graphic>
        </wp:anchor>
      </w:drawing>
    </w:r>
    <w:r w:rsidRPr="005A53F9">
      <w:rPr>
        <w:noProof/>
        <w:lang w:val="en-ZA" w:eastAsia="en-ZA"/>
      </w:rPr>
      <w:drawing>
        <wp:anchor distT="0" distB="0" distL="114300" distR="114300" simplePos="0" relativeHeight="251665408" behindDoc="0" locked="0" layoutInCell="1" allowOverlap="1">
          <wp:simplePos x="0" y="0"/>
          <wp:positionH relativeFrom="column">
            <wp:posOffset>2402840</wp:posOffset>
          </wp:positionH>
          <wp:positionV relativeFrom="paragraph">
            <wp:posOffset>-134620</wp:posOffset>
          </wp:positionV>
          <wp:extent cx="2481580" cy="747395"/>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81580" cy="747395"/>
                  </a:xfrm>
                  <a:prstGeom prst="rect">
                    <a:avLst/>
                  </a:prstGeom>
                  <a:noFill/>
                  <a:ln w="9525">
                    <a:noFill/>
                    <a:miter lim="800000"/>
                    <a:headEnd/>
                    <a:tailEnd/>
                  </a:ln>
                </pic:spPr>
              </pic:pic>
            </a:graphicData>
          </a:graphic>
        </wp:anchor>
      </w:drawing>
    </w:r>
    <w:r>
      <w:rPr>
        <w:noProof/>
        <w:lang w:val="en-ZA" w:eastAsia="en-ZA"/>
      </w:rPr>
      <w:drawing>
        <wp:anchor distT="0" distB="0" distL="114300" distR="114300" simplePos="0" relativeHeight="251662336" behindDoc="1" locked="0" layoutInCell="1" allowOverlap="1">
          <wp:simplePos x="0" y="0"/>
          <wp:positionH relativeFrom="column">
            <wp:posOffset>64135</wp:posOffset>
          </wp:positionH>
          <wp:positionV relativeFrom="paragraph">
            <wp:posOffset>-71755</wp:posOffset>
          </wp:positionV>
          <wp:extent cx="2242185" cy="683260"/>
          <wp:effectExtent l="0" t="0" r="5715" b="2540"/>
          <wp:wrapTight wrapText="bothSides">
            <wp:wrapPolygon edited="0">
              <wp:start x="0" y="0"/>
              <wp:lineTo x="0" y="21078"/>
              <wp:lineTo x="21472" y="21078"/>
              <wp:lineTo x="21472" y="0"/>
              <wp:lineTo x="0" y="0"/>
            </wp:wrapPolygon>
          </wp:wrapTight>
          <wp:docPr id="4" name="Picture 4" descr="C:\Users\Economists\Desktop\Department 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onomists\Desktop\Department English.png"/>
                  <pic:cNvPicPr>
                    <a:picLocks noChangeAspect="1" noChangeArrowheads="1"/>
                  </pic:cNvPicPr>
                </pic:nvPicPr>
                <pic:blipFill>
                  <a:blip r:embed="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42185" cy="683260"/>
                  </a:xfrm>
                  <a:prstGeom prst="rect">
                    <a:avLst/>
                  </a:prstGeom>
                  <a:noFill/>
                  <a:ln>
                    <a:noFill/>
                  </a:ln>
                </pic:spPr>
              </pic:pic>
            </a:graphicData>
          </a:graphic>
        </wp:anchor>
      </w:drawing>
    </w:r>
    <w:r w:rsidR="00704A22">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00"/>
  <w:displayHorizontalDrawingGridEvery w:val="2"/>
  <w:characterSpacingControl w:val="doNotCompress"/>
  <w:hdrShapeDefaults>
    <o:shapedefaults v:ext="edit" spidmax="5122"/>
    <o:shapelayout v:ext="edit">
      <o:idmap v:ext="edit" data="4"/>
      <o:rules v:ext="edit">
        <o:r id="V:Rule1" type="connector" idref="#AutoShape 6"/>
      </o:rules>
    </o:shapelayout>
  </w:hdrShapeDefaults>
  <w:footnotePr>
    <w:footnote w:id="-1"/>
    <w:footnote w:id="0"/>
  </w:footnotePr>
  <w:endnotePr>
    <w:endnote w:id="-1"/>
    <w:endnote w:id="0"/>
  </w:endnotePr>
  <w:compat/>
  <w:rsids>
    <w:rsidRoot w:val="00454BB1"/>
    <w:rsid w:val="0000722D"/>
    <w:rsid w:val="00007D15"/>
    <w:rsid w:val="00032B0D"/>
    <w:rsid w:val="000A346C"/>
    <w:rsid w:val="000C27C2"/>
    <w:rsid w:val="000F6EDC"/>
    <w:rsid w:val="00104892"/>
    <w:rsid w:val="00106B10"/>
    <w:rsid w:val="0012629B"/>
    <w:rsid w:val="00127BC7"/>
    <w:rsid w:val="0014110B"/>
    <w:rsid w:val="0014790D"/>
    <w:rsid w:val="00147D45"/>
    <w:rsid w:val="00183885"/>
    <w:rsid w:val="00184712"/>
    <w:rsid w:val="001A473C"/>
    <w:rsid w:val="001E4052"/>
    <w:rsid w:val="0028043A"/>
    <w:rsid w:val="002A1E66"/>
    <w:rsid w:val="002E7147"/>
    <w:rsid w:val="00302CD6"/>
    <w:rsid w:val="00307C69"/>
    <w:rsid w:val="00345E2D"/>
    <w:rsid w:val="003941EF"/>
    <w:rsid w:val="00397D66"/>
    <w:rsid w:val="003A097F"/>
    <w:rsid w:val="003A7433"/>
    <w:rsid w:val="003B0BDF"/>
    <w:rsid w:val="003C1263"/>
    <w:rsid w:val="003D2C89"/>
    <w:rsid w:val="00400F91"/>
    <w:rsid w:val="00405D35"/>
    <w:rsid w:val="00421A3B"/>
    <w:rsid w:val="00433DD1"/>
    <w:rsid w:val="00451BA1"/>
    <w:rsid w:val="00454BB1"/>
    <w:rsid w:val="00495543"/>
    <w:rsid w:val="004B5AB8"/>
    <w:rsid w:val="004E610A"/>
    <w:rsid w:val="0053637F"/>
    <w:rsid w:val="005428BC"/>
    <w:rsid w:val="00560FC5"/>
    <w:rsid w:val="00586B80"/>
    <w:rsid w:val="005A53F9"/>
    <w:rsid w:val="005B6CAE"/>
    <w:rsid w:val="005E1A21"/>
    <w:rsid w:val="005F396D"/>
    <w:rsid w:val="005F43B6"/>
    <w:rsid w:val="00617038"/>
    <w:rsid w:val="00643B62"/>
    <w:rsid w:val="00662636"/>
    <w:rsid w:val="00680206"/>
    <w:rsid w:val="0069663D"/>
    <w:rsid w:val="006A6E68"/>
    <w:rsid w:val="006C21FF"/>
    <w:rsid w:val="006C3022"/>
    <w:rsid w:val="006D19E8"/>
    <w:rsid w:val="00704A22"/>
    <w:rsid w:val="007271FE"/>
    <w:rsid w:val="00730965"/>
    <w:rsid w:val="00756B58"/>
    <w:rsid w:val="007746EC"/>
    <w:rsid w:val="0078035C"/>
    <w:rsid w:val="0078551F"/>
    <w:rsid w:val="007B66FB"/>
    <w:rsid w:val="007B7B78"/>
    <w:rsid w:val="007C6FEC"/>
    <w:rsid w:val="007D2C40"/>
    <w:rsid w:val="008118BF"/>
    <w:rsid w:val="00816183"/>
    <w:rsid w:val="008231C5"/>
    <w:rsid w:val="0084059C"/>
    <w:rsid w:val="00840899"/>
    <w:rsid w:val="00855F84"/>
    <w:rsid w:val="00894C8C"/>
    <w:rsid w:val="008B00E4"/>
    <w:rsid w:val="008C38FE"/>
    <w:rsid w:val="008E50FC"/>
    <w:rsid w:val="00935FCC"/>
    <w:rsid w:val="0093610D"/>
    <w:rsid w:val="00946625"/>
    <w:rsid w:val="00950B0E"/>
    <w:rsid w:val="009836EB"/>
    <w:rsid w:val="009F4B73"/>
    <w:rsid w:val="009F5A5D"/>
    <w:rsid w:val="00A31FFD"/>
    <w:rsid w:val="00A6357C"/>
    <w:rsid w:val="00A700CF"/>
    <w:rsid w:val="00AD6182"/>
    <w:rsid w:val="00AE4C47"/>
    <w:rsid w:val="00B12C09"/>
    <w:rsid w:val="00B21D0C"/>
    <w:rsid w:val="00B523FA"/>
    <w:rsid w:val="00B63885"/>
    <w:rsid w:val="00B72457"/>
    <w:rsid w:val="00BC7C30"/>
    <w:rsid w:val="00BD3888"/>
    <w:rsid w:val="00BE3431"/>
    <w:rsid w:val="00C17D4A"/>
    <w:rsid w:val="00C34897"/>
    <w:rsid w:val="00C56111"/>
    <w:rsid w:val="00C76C67"/>
    <w:rsid w:val="00C94F75"/>
    <w:rsid w:val="00CA46F5"/>
    <w:rsid w:val="00CA4B02"/>
    <w:rsid w:val="00CC5AD1"/>
    <w:rsid w:val="00CC6F0B"/>
    <w:rsid w:val="00CD2455"/>
    <w:rsid w:val="00CD39B4"/>
    <w:rsid w:val="00CE02BC"/>
    <w:rsid w:val="00D04DFB"/>
    <w:rsid w:val="00D05FA7"/>
    <w:rsid w:val="00D07179"/>
    <w:rsid w:val="00D177BD"/>
    <w:rsid w:val="00D231CB"/>
    <w:rsid w:val="00D7219C"/>
    <w:rsid w:val="00D75117"/>
    <w:rsid w:val="00D9328E"/>
    <w:rsid w:val="00DA75F4"/>
    <w:rsid w:val="00DB2505"/>
    <w:rsid w:val="00E4336B"/>
    <w:rsid w:val="00E654B2"/>
    <w:rsid w:val="00E72618"/>
    <w:rsid w:val="00E857F8"/>
    <w:rsid w:val="00EB6C11"/>
    <w:rsid w:val="00EC2FEE"/>
    <w:rsid w:val="00EC3702"/>
    <w:rsid w:val="00EE7031"/>
    <w:rsid w:val="00EF73C6"/>
    <w:rsid w:val="00F37AF9"/>
    <w:rsid w:val="00F37D2D"/>
    <w:rsid w:val="00F60399"/>
    <w:rsid w:val="00F62763"/>
    <w:rsid w:val="00F80359"/>
    <w:rsid w:val="00FB0F93"/>
    <w:rsid w:val="00FB36A2"/>
    <w:rsid w:val="00FB595E"/>
    <w:rsid w:val="00FB5DC0"/>
    <w:rsid w:val="00FC7EAD"/>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97011282">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581178">
      <w:bodyDiv w:val="1"/>
      <w:marLeft w:val="0"/>
      <w:marRight w:val="0"/>
      <w:marTop w:val="0"/>
      <w:marBottom w:val="0"/>
      <w:divBdr>
        <w:top w:val="none" w:sz="0" w:space="0" w:color="auto"/>
        <w:left w:val="none" w:sz="0" w:space="0" w:color="auto"/>
        <w:bottom w:val="none" w:sz="0" w:space="0" w:color="auto"/>
        <w:right w:val="none" w:sz="0" w:space="0" w:color="auto"/>
      </w:divBdr>
    </w:div>
    <w:div w:id="1232036239">
      <w:bodyDiv w:val="1"/>
      <w:marLeft w:val="0"/>
      <w:marRight w:val="0"/>
      <w:marTop w:val="0"/>
      <w:marBottom w:val="0"/>
      <w:divBdr>
        <w:top w:val="none" w:sz="0" w:space="0" w:color="auto"/>
        <w:left w:val="none" w:sz="0" w:space="0" w:color="auto"/>
        <w:bottom w:val="none" w:sz="0" w:space="0" w:color="auto"/>
        <w:right w:val="none" w:sz="0" w:space="0" w:color="auto"/>
      </w:divBdr>
    </w:div>
    <w:div w:id="1446343260">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Economists\Desktop\Barometer\May%202014\KZN%20%20Totals%20Seasonally%20Adjust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ZA"/>
  <c:chart>
    <c:title>
      <c:layout>
        <c:manualLayout>
          <c:xMode val="edge"/>
          <c:yMode val="edge"/>
          <c:x val="0.26272734369742246"/>
          <c:y val="7.169844335495798E-2"/>
        </c:manualLayout>
      </c:layout>
      <c:spPr>
        <a:noFill/>
        <a:ln w="25400">
          <a:noFill/>
        </a:ln>
      </c:spPr>
      <c:txPr>
        <a:bodyPr/>
        <a:lstStyle/>
        <a:p>
          <a:pPr>
            <a:defRPr lang="en-GB" sz="3200" b="1" i="0" u="none" strike="noStrike" baseline="0">
              <a:solidFill>
                <a:srgbClr val="000000"/>
              </a:solidFill>
              <a:latin typeface="Arial"/>
              <a:ea typeface="Arial"/>
              <a:cs typeface="Arial"/>
            </a:defRPr>
          </a:pPr>
          <a:endParaRPr lang="en-US"/>
        </a:p>
      </c:txPr>
    </c:title>
    <c:plotArea>
      <c:layout>
        <c:manualLayout>
          <c:layoutTarget val="inner"/>
          <c:xMode val="edge"/>
          <c:yMode val="edge"/>
          <c:x val="6.2603575309230011E-2"/>
          <c:y val="3.1475523413093891E-2"/>
          <c:w val="0.90193899653330145"/>
          <c:h val="0.84090295157084982"/>
        </c:manualLayout>
      </c:layout>
      <c:lineChart>
        <c:grouping val="standard"/>
        <c:ser>
          <c:idx val="0"/>
          <c:order val="0"/>
          <c:tx>
            <c:strRef>
              <c:f>'Final Indices (SA)'!$M$2</c:f>
              <c:strCache>
                <c:ptCount val="1"/>
                <c:pt idx="0">
                  <c:v>KZN  Barometer</c:v>
                </c:pt>
              </c:strCache>
            </c:strRef>
          </c:tx>
          <c:spPr>
            <a:ln w="63500">
              <a:solidFill>
                <a:schemeClr val="accent3"/>
              </a:solidFill>
              <a:prstDash val="solid"/>
            </a:ln>
          </c:spPr>
          <c:marker>
            <c:symbol val="none"/>
          </c:marker>
          <c:cat>
            <c:numRef>
              <c:f>'Final Indices (SA)'!$A$92:$A$152</c:f>
              <c:numCache>
                <c:formatCode>mmm\-yy</c:formatCode>
                <c:ptCount val="61"/>
                <c:pt idx="0">
                  <c:v>39934</c:v>
                </c:pt>
                <c:pt idx="1">
                  <c:v>39965</c:v>
                </c:pt>
                <c:pt idx="2">
                  <c:v>39995</c:v>
                </c:pt>
                <c:pt idx="3">
                  <c:v>40026</c:v>
                </c:pt>
                <c:pt idx="4">
                  <c:v>40057</c:v>
                </c:pt>
                <c:pt idx="5">
                  <c:v>40087</c:v>
                </c:pt>
                <c:pt idx="6">
                  <c:v>40118</c:v>
                </c:pt>
                <c:pt idx="7">
                  <c:v>40148</c:v>
                </c:pt>
                <c:pt idx="8">
                  <c:v>40179</c:v>
                </c:pt>
                <c:pt idx="9">
                  <c:v>40210</c:v>
                </c:pt>
                <c:pt idx="10">
                  <c:v>40238</c:v>
                </c:pt>
                <c:pt idx="11">
                  <c:v>40269</c:v>
                </c:pt>
                <c:pt idx="12">
                  <c:v>40299</c:v>
                </c:pt>
                <c:pt idx="13">
                  <c:v>40330</c:v>
                </c:pt>
                <c:pt idx="14">
                  <c:v>40360</c:v>
                </c:pt>
                <c:pt idx="15">
                  <c:v>40391</c:v>
                </c:pt>
                <c:pt idx="16">
                  <c:v>40422</c:v>
                </c:pt>
                <c:pt idx="17">
                  <c:v>40452</c:v>
                </c:pt>
                <c:pt idx="18">
                  <c:v>40483</c:v>
                </c:pt>
                <c:pt idx="19">
                  <c:v>40513</c:v>
                </c:pt>
                <c:pt idx="20">
                  <c:v>40544</c:v>
                </c:pt>
                <c:pt idx="21">
                  <c:v>40575</c:v>
                </c:pt>
                <c:pt idx="22">
                  <c:v>40603</c:v>
                </c:pt>
                <c:pt idx="23">
                  <c:v>40634</c:v>
                </c:pt>
                <c:pt idx="24">
                  <c:v>40664</c:v>
                </c:pt>
                <c:pt idx="25">
                  <c:v>40695</c:v>
                </c:pt>
                <c:pt idx="26">
                  <c:v>40725</c:v>
                </c:pt>
                <c:pt idx="27">
                  <c:v>40756</c:v>
                </c:pt>
                <c:pt idx="28">
                  <c:v>40787</c:v>
                </c:pt>
                <c:pt idx="29">
                  <c:v>40817</c:v>
                </c:pt>
                <c:pt idx="30">
                  <c:v>40848</c:v>
                </c:pt>
                <c:pt idx="31">
                  <c:v>40878</c:v>
                </c:pt>
                <c:pt idx="32">
                  <c:v>40909</c:v>
                </c:pt>
                <c:pt idx="33">
                  <c:v>40940</c:v>
                </c:pt>
                <c:pt idx="34">
                  <c:v>40969</c:v>
                </c:pt>
                <c:pt idx="35">
                  <c:v>41000</c:v>
                </c:pt>
                <c:pt idx="36">
                  <c:v>41030</c:v>
                </c:pt>
                <c:pt idx="37">
                  <c:v>41061</c:v>
                </c:pt>
                <c:pt idx="38">
                  <c:v>41091</c:v>
                </c:pt>
                <c:pt idx="39">
                  <c:v>41122</c:v>
                </c:pt>
                <c:pt idx="40">
                  <c:v>41153</c:v>
                </c:pt>
                <c:pt idx="41">
                  <c:v>41183</c:v>
                </c:pt>
                <c:pt idx="42">
                  <c:v>41214</c:v>
                </c:pt>
                <c:pt idx="43">
                  <c:v>41244</c:v>
                </c:pt>
                <c:pt idx="44">
                  <c:v>41275</c:v>
                </c:pt>
                <c:pt idx="45">
                  <c:v>41306</c:v>
                </c:pt>
                <c:pt idx="46">
                  <c:v>41334</c:v>
                </c:pt>
                <c:pt idx="47">
                  <c:v>41365</c:v>
                </c:pt>
                <c:pt idx="48">
                  <c:v>41395</c:v>
                </c:pt>
                <c:pt idx="49">
                  <c:v>41426</c:v>
                </c:pt>
                <c:pt idx="50">
                  <c:v>41456</c:v>
                </c:pt>
                <c:pt idx="51">
                  <c:v>41487</c:v>
                </c:pt>
                <c:pt idx="52">
                  <c:v>41518</c:v>
                </c:pt>
                <c:pt idx="53">
                  <c:v>41548</c:v>
                </c:pt>
                <c:pt idx="54">
                  <c:v>41579</c:v>
                </c:pt>
                <c:pt idx="55">
                  <c:v>41609</c:v>
                </c:pt>
                <c:pt idx="56">
                  <c:v>41640</c:v>
                </c:pt>
                <c:pt idx="57">
                  <c:v>41671</c:v>
                </c:pt>
                <c:pt idx="58">
                  <c:v>41699</c:v>
                </c:pt>
                <c:pt idx="59">
                  <c:v>41730</c:v>
                </c:pt>
                <c:pt idx="60">
                  <c:v>41760</c:v>
                </c:pt>
              </c:numCache>
            </c:numRef>
          </c:cat>
          <c:val>
            <c:numRef>
              <c:f>'Final Indices (SA)'!$M$92:$M$152</c:f>
              <c:numCache>
                <c:formatCode>0.0</c:formatCode>
                <c:ptCount val="61"/>
                <c:pt idx="0">
                  <c:v>96.567141763594449</c:v>
                </c:pt>
                <c:pt idx="1">
                  <c:v>101.0875411277718</c:v>
                </c:pt>
                <c:pt idx="2">
                  <c:v>101.95968320891521</c:v>
                </c:pt>
                <c:pt idx="3">
                  <c:v>103.06866561372749</c:v>
                </c:pt>
                <c:pt idx="4">
                  <c:v>103.07160448071541</c:v>
                </c:pt>
                <c:pt idx="5">
                  <c:v>102.53345132460828</c:v>
                </c:pt>
                <c:pt idx="6">
                  <c:v>102.49334430276848</c:v>
                </c:pt>
                <c:pt idx="7">
                  <c:v>102.40363644309454</c:v>
                </c:pt>
                <c:pt idx="8">
                  <c:v>104.66602786652433</c:v>
                </c:pt>
                <c:pt idx="9">
                  <c:v>103.28465923629733</c:v>
                </c:pt>
                <c:pt idx="10">
                  <c:v>105.28457594189926</c:v>
                </c:pt>
                <c:pt idx="11">
                  <c:v>104.61829230434272</c:v>
                </c:pt>
                <c:pt idx="12">
                  <c:v>104.60385753513884</c:v>
                </c:pt>
                <c:pt idx="13">
                  <c:v>105.41830540329656</c:v>
                </c:pt>
                <c:pt idx="14">
                  <c:v>104.77844339733511</c:v>
                </c:pt>
                <c:pt idx="15">
                  <c:v>105.59219758221529</c:v>
                </c:pt>
                <c:pt idx="16">
                  <c:v>108.61236203389329</c:v>
                </c:pt>
                <c:pt idx="17">
                  <c:v>108.0792225963731</c:v>
                </c:pt>
                <c:pt idx="18">
                  <c:v>109.06672508035386</c:v>
                </c:pt>
                <c:pt idx="19">
                  <c:v>109.34694614434912</c:v>
                </c:pt>
                <c:pt idx="20">
                  <c:v>114.29101593822379</c:v>
                </c:pt>
                <c:pt idx="21">
                  <c:v>114.58116234416306</c:v>
                </c:pt>
                <c:pt idx="22">
                  <c:v>116.63042092173876</c:v>
                </c:pt>
                <c:pt idx="23">
                  <c:v>118.20493402818249</c:v>
                </c:pt>
                <c:pt idx="24">
                  <c:v>116.89365830609397</c:v>
                </c:pt>
                <c:pt idx="25">
                  <c:v>116.07787960827451</c:v>
                </c:pt>
                <c:pt idx="26">
                  <c:v>114.01290502981028</c:v>
                </c:pt>
                <c:pt idx="27">
                  <c:v>114.80922022546217</c:v>
                </c:pt>
                <c:pt idx="28">
                  <c:v>117.31938909998618</c:v>
                </c:pt>
                <c:pt idx="29">
                  <c:v>118.73091355473299</c:v>
                </c:pt>
                <c:pt idx="30">
                  <c:v>120.34573038639996</c:v>
                </c:pt>
                <c:pt idx="31">
                  <c:v>120.75393169562025</c:v>
                </c:pt>
                <c:pt idx="32">
                  <c:v>121.62328101734748</c:v>
                </c:pt>
                <c:pt idx="33">
                  <c:v>119.64438752667535</c:v>
                </c:pt>
                <c:pt idx="34">
                  <c:v>119.69129617144128</c:v>
                </c:pt>
                <c:pt idx="35">
                  <c:v>116.83099566675489</c:v>
                </c:pt>
                <c:pt idx="36">
                  <c:v>116.6117870072822</c:v>
                </c:pt>
                <c:pt idx="37">
                  <c:v>116.26846458982061</c:v>
                </c:pt>
                <c:pt idx="38">
                  <c:v>118.29928936493431</c:v>
                </c:pt>
                <c:pt idx="39">
                  <c:v>118.86829241550089</c:v>
                </c:pt>
                <c:pt idx="40">
                  <c:v>117.61737830288288</c:v>
                </c:pt>
                <c:pt idx="41">
                  <c:v>116.73356023789026</c:v>
                </c:pt>
                <c:pt idx="42">
                  <c:v>115.94485088519801</c:v>
                </c:pt>
                <c:pt idx="43">
                  <c:v>114.23314113989203</c:v>
                </c:pt>
                <c:pt idx="44">
                  <c:v>117.75196791191397</c:v>
                </c:pt>
                <c:pt idx="45">
                  <c:v>117.28647215652742</c:v>
                </c:pt>
                <c:pt idx="46">
                  <c:v>118.87340195920105</c:v>
                </c:pt>
                <c:pt idx="47">
                  <c:v>118.65480589037507</c:v>
                </c:pt>
                <c:pt idx="48">
                  <c:v>117.66610922398391</c:v>
                </c:pt>
                <c:pt idx="49">
                  <c:v>116.09639015024558</c:v>
                </c:pt>
                <c:pt idx="50">
                  <c:v>115.891619124973</c:v>
                </c:pt>
                <c:pt idx="51">
                  <c:v>114.05993287095822</c:v>
                </c:pt>
                <c:pt idx="52">
                  <c:v>115.64895337117557</c:v>
                </c:pt>
                <c:pt idx="53">
                  <c:v>117.29875435916071</c:v>
                </c:pt>
                <c:pt idx="54">
                  <c:v>118.82637988126061</c:v>
                </c:pt>
                <c:pt idx="55">
                  <c:v>118.80710937817929</c:v>
                </c:pt>
                <c:pt idx="56">
                  <c:v>123.42750218367573</c:v>
                </c:pt>
                <c:pt idx="57">
                  <c:v>119.69302492035359</c:v>
                </c:pt>
                <c:pt idx="58">
                  <c:v>119.79353487139113</c:v>
                </c:pt>
                <c:pt idx="59">
                  <c:v>116.24193324898783</c:v>
                </c:pt>
                <c:pt idx="60">
                  <c:v>115.51413591457884</c:v>
                </c:pt>
              </c:numCache>
            </c:numRef>
          </c:val>
        </c:ser>
        <c:marker val="1"/>
        <c:axId val="129043456"/>
        <c:axId val="24097536"/>
      </c:lineChart>
      <c:dateAx>
        <c:axId val="129043456"/>
        <c:scaling>
          <c:orientation val="minMax"/>
        </c:scaling>
        <c:axPos val="b"/>
        <c:numFmt formatCode="mmm\-yy" sourceLinked="0"/>
        <c:tickLblPos val="nextTo"/>
        <c:spPr>
          <a:ln w="3175">
            <a:solidFill>
              <a:srgbClr val="000000"/>
            </a:solidFill>
            <a:prstDash val="solid"/>
          </a:ln>
        </c:spPr>
        <c:txPr>
          <a:bodyPr rot="-1800000" vert="horz"/>
          <a:lstStyle/>
          <a:p>
            <a:pPr>
              <a:defRPr lang="en-GB" sz="1400" b="1" i="0" u="none" strike="noStrike" baseline="0">
                <a:solidFill>
                  <a:srgbClr val="000000"/>
                </a:solidFill>
                <a:latin typeface="Arial"/>
                <a:ea typeface="Arial"/>
                <a:cs typeface="Arial"/>
              </a:defRPr>
            </a:pPr>
            <a:endParaRPr lang="en-US"/>
          </a:p>
        </c:txPr>
        <c:crossAx val="24097536"/>
        <c:crosses val="autoZero"/>
        <c:auto val="1"/>
        <c:lblOffset val="100"/>
        <c:baseTimeUnit val="months"/>
        <c:majorUnit val="5"/>
        <c:majorTimeUnit val="months"/>
        <c:minorUnit val="3"/>
        <c:minorTimeUnit val="months"/>
      </c:dateAx>
      <c:valAx>
        <c:axId val="24097536"/>
        <c:scaling>
          <c:orientation val="minMax"/>
          <c:min val="90"/>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GB" sz="1400" b="1" i="0" u="none" strike="noStrike" baseline="0">
                <a:solidFill>
                  <a:srgbClr val="000000"/>
                </a:solidFill>
                <a:latin typeface="Arial"/>
                <a:ea typeface="Arial"/>
                <a:cs typeface="Arial"/>
              </a:defRPr>
            </a:pPr>
            <a:endParaRPr lang="en-US"/>
          </a:p>
        </c:txPr>
        <c:crossAx val="129043456"/>
        <c:crosses val="autoZero"/>
        <c:crossBetween val="between"/>
        <c:majorUnit val="10"/>
      </c:valAx>
      <c:spPr>
        <a:noFill/>
        <a:ln w="12700">
          <a:solidFill>
            <a:srgbClr val="808080"/>
          </a:solidFill>
          <a:prstDash val="solid"/>
        </a:ln>
      </c:spPr>
    </c:plotArea>
    <c:plotVisOnly val="1"/>
    <c:dispBlanksAs val="gap"/>
  </c:chart>
  <c:spPr>
    <a:noFill/>
    <a:ln w="9525">
      <a:noFill/>
    </a:ln>
  </c:spPr>
  <c:txPr>
    <a:bodyPr/>
    <a:lstStyle/>
    <a:p>
      <a:pPr>
        <a:defRPr sz="1000" b="0" i="0" u="none" strike="noStrike" baseline="0">
          <a:solidFill>
            <a:srgbClr val="000000"/>
          </a:solidFill>
          <a:latin typeface="Arial"/>
          <a:ea typeface="Arial"/>
          <a:cs typeface="Arial"/>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00F06A-FC02-4E98-A735-167A07053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1079</Words>
  <Characters>6152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7217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cp:lastPrinted>2014-05-12T08:02:00Z</cp:lastPrinted>
  <dcterms:created xsi:type="dcterms:W3CDTF">2014-07-07T09:36:00Z</dcterms:created>
  <dcterms:modified xsi:type="dcterms:W3CDTF">2014-07-07T09:36:00Z</dcterms:modified>
</cp:coreProperties>
</file>