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83108D">
      <w:pPr>
        <w:jc w:val="center"/>
        <w:rPr>
          <w:rFonts w:ascii="Book Antiqua" w:hAnsi="Book Antiqua"/>
          <w:noProof/>
        </w:rPr>
      </w:pPr>
    </w:p>
    <w:p w:rsidR="00454BB1" w:rsidRDefault="005A53F9" w:rsidP="0083108D">
      <w:pPr>
        <w:tabs>
          <w:tab w:val="left" w:pos="555"/>
        </w:tabs>
      </w:pPr>
      <w:r>
        <w:rPr>
          <w:rFonts w:ascii="Book Antiqua" w:hAnsi="Book Antiqua"/>
          <w:noProof/>
        </w:rPr>
        <w:tab/>
      </w:r>
    </w:p>
    <w:p w:rsidR="00454BB1" w:rsidRDefault="00454BB1" w:rsidP="0083108D"/>
    <w:p w:rsidR="00454BB1" w:rsidRDefault="00454BB1" w:rsidP="0083108D">
      <w:pPr>
        <w:jc w:val="center"/>
      </w:pPr>
    </w:p>
    <w:p w:rsidR="00454BB1" w:rsidRPr="00454BB1" w:rsidRDefault="00454BB1" w:rsidP="0083108D"/>
    <w:p w:rsidR="00454BB1" w:rsidRPr="00454BB1" w:rsidRDefault="00454BB1" w:rsidP="0083108D"/>
    <w:p w:rsidR="00454BB1" w:rsidRDefault="00454BB1" w:rsidP="0083108D"/>
    <w:p w:rsidR="00A700CF" w:rsidRDefault="00A700CF" w:rsidP="0083108D"/>
    <w:p w:rsidR="00454BB1" w:rsidRPr="00345E2D" w:rsidRDefault="00454BB1" w:rsidP="0083108D">
      <w:pPr>
        <w:jc w:val="center"/>
        <w:rPr>
          <w:rFonts w:ascii="Arial" w:hAnsi="Arial"/>
          <w:b/>
          <w:sz w:val="32"/>
          <w:szCs w:val="28"/>
        </w:rPr>
      </w:pPr>
      <w:r w:rsidRPr="00345E2D">
        <w:rPr>
          <w:rFonts w:ascii="Arial" w:hAnsi="Arial"/>
          <w:b/>
          <w:sz w:val="32"/>
          <w:szCs w:val="28"/>
        </w:rPr>
        <w:t xml:space="preserve">KwaZulu-Natal </w:t>
      </w:r>
      <w:r w:rsidR="00A6357C" w:rsidRPr="00345E2D">
        <w:rPr>
          <w:rFonts w:ascii="Arial" w:hAnsi="Arial"/>
          <w:b/>
          <w:sz w:val="32"/>
          <w:szCs w:val="28"/>
        </w:rPr>
        <w:t>Business Barometer</w:t>
      </w:r>
    </w:p>
    <w:p w:rsidR="00454BB1" w:rsidRPr="00454BB1" w:rsidRDefault="00454BB1" w:rsidP="0083108D">
      <w:pPr>
        <w:jc w:val="center"/>
        <w:rPr>
          <w:rFonts w:ascii="Arial" w:hAnsi="Arial"/>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454BB1" w:rsidRPr="00345E2D" w:rsidRDefault="00B0793A" w:rsidP="0083108D">
      <w:pPr>
        <w:jc w:val="center"/>
        <w:rPr>
          <w:rFonts w:ascii="Arial" w:hAnsi="Arial"/>
          <w:b/>
          <w:sz w:val="22"/>
        </w:rPr>
      </w:pPr>
      <w:r>
        <w:rPr>
          <w:rFonts w:ascii="Arial" w:hAnsi="Arial"/>
          <w:b/>
          <w:sz w:val="22"/>
        </w:rPr>
        <w:t>June</w:t>
      </w:r>
      <w:r w:rsidR="00405D35" w:rsidRPr="00345E2D">
        <w:rPr>
          <w:rFonts w:ascii="Arial" w:hAnsi="Arial"/>
          <w:b/>
          <w:sz w:val="22"/>
        </w:rPr>
        <w:t xml:space="preserve"> 2014</w:t>
      </w:r>
      <w:bookmarkStart w:id="0" w:name="_GoBack"/>
      <w:bookmarkEnd w:id="0"/>
    </w:p>
    <w:p w:rsidR="00454BB1" w:rsidRDefault="00454BB1" w:rsidP="0083108D">
      <w:pPr>
        <w:jc w:val="center"/>
        <w:rPr>
          <w:rFonts w:ascii="Arial" w:hAnsi="Arial"/>
          <w:b/>
        </w:rPr>
      </w:pPr>
    </w:p>
    <w:p w:rsidR="005A53F9" w:rsidRDefault="005A53F9" w:rsidP="0083108D">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p>
    <w:p w:rsidR="007E7531" w:rsidRPr="007E7531" w:rsidRDefault="007E7531" w:rsidP="0083108D">
      <w:pPr>
        <w:rPr>
          <w:rFonts w:ascii="Arial" w:hAnsi="Arial"/>
          <w:b/>
          <w:sz w:val="32"/>
          <w:szCs w:val="20"/>
        </w:rPr>
      </w:pPr>
      <w:r>
        <w:rPr>
          <w:noProof/>
          <w:lang w:val="en-ZA" w:eastAsia="en-ZA"/>
        </w:rPr>
        <w:lastRenderedPageBreak/>
        <w:drawing>
          <wp:anchor distT="0" distB="0" distL="114300" distR="114300" simplePos="0" relativeHeight="251658240" behindDoc="0" locked="0" layoutInCell="1" allowOverlap="1">
            <wp:simplePos x="0" y="0"/>
            <wp:positionH relativeFrom="column">
              <wp:posOffset>266065</wp:posOffset>
            </wp:positionH>
            <wp:positionV relativeFrom="paragraph">
              <wp:posOffset>810895</wp:posOffset>
            </wp:positionV>
            <wp:extent cx="5943600" cy="3881120"/>
            <wp:effectExtent l="0" t="0" r="0" b="508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484B41" w:rsidRPr="00484B41">
        <w:rPr>
          <w:rFonts w:ascii="Arial" w:hAnsi="Arial"/>
          <w:b/>
          <w:sz w:val="32"/>
          <w:szCs w:val="20"/>
        </w:rPr>
        <w:t>KwaZulu-Natal economic growth remains weak amid nationwide downturn</w:t>
      </w:r>
    </w:p>
    <w:p w:rsidR="00484B41" w:rsidRDefault="00484B41" w:rsidP="0083108D">
      <w:pPr>
        <w:spacing w:before="100" w:beforeAutospacing="1" w:after="100" w:afterAutospacing="1"/>
        <w:rPr>
          <w:rFonts w:ascii="Arial" w:eastAsia="Calibri" w:hAnsi="Arial"/>
          <w:b/>
          <w:szCs w:val="20"/>
        </w:rPr>
      </w:pPr>
      <w:r w:rsidRPr="00451021">
        <w:rPr>
          <w:rFonts w:ascii="Arial" w:hAnsi="Arial"/>
          <w:szCs w:val="20"/>
        </w:rPr>
        <w:t>The strain that the South African economy is under continues to show in the KwaZulu-Natal economy</w:t>
      </w:r>
      <w:r w:rsidRPr="00451021">
        <w:rPr>
          <w:rFonts w:ascii="Arial" w:eastAsia="Calibri" w:hAnsi="Arial"/>
          <w:szCs w:val="20"/>
        </w:rPr>
        <w:t>. Prolonged labour strife, rising inflation and higher interest rates hamper business and consumer confidence. The latest KwaZulu-Natal barometer, as compiled by Mike Schüssler of Economists.co.za, decreased 3% year-on-year, the third consecutive month of year-on-year decline, and fell 1.9% month-on-month. The growth index was up only 0.2% from a year ago and economic stress increased substantially.</w:t>
      </w:r>
      <w:r w:rsidRPr="00451021">
        <w:rPr>
          <w:rFonts w:ascii="Arial" w:eastAsia="Calibri" w:hAnsi="Arial"/>
          <w:b/>
          <w:szCs w:val="20"/>
        </w:rPr>
        <w:t xml:space="preserve"> </w:t>
      </w:r>
    </w:p>
    <w:p w:rsidR="0083108D" w:rsidRDefault="0083108D" w:rsidP="0083108D">
      <w:pPr>
        <w:spacing w:before="100" w:beforeAutospacing="1" w:after="100" w:afterAutospacing="1"/>
        <w:rPr>
          <w:rFonts w:ascii="Arial" w:eastAsia="Calibri" w:hAnsi="Arial"/>
          <w:b/>
          <w:szCs w:val="20"/>
        </w:rPr>
      </w:pPr>
      <w:r>
        <w:rPr>
          <w:rFonts w:ascii="Arial" w:eastAsia="Calibri" w:hAnsi="Arial"/>
          <w:b/>
          <w:szCs w:val="20"/>
        </w:rPr>
        <w:t xml:space="preserve">Unemployment driving stress </w:t>
      </w:r>
    </w:p>
    <w:p w:rsidR="00484B41" w:rsidRPr="0083108D" w:rsidRDefault="00484B41" w:rsidP="0083108D">
      <w:pPr>
        <w:spacing w:before="100" w:beforeAutospacing="1" w:after="100" w:afterAutospacing="1"/>
        <w:rPr>
          <w:rFonts w:ascii="Arial" w:eastAsia="Calibri" w:hAnsi="Arial"/>
          <w:b/>
          <w:szCs w:val="20"/>
        </w:rPr>
      </w:pPr>
      <w:r w:rsidRPr="00451021">
        <w:rPr>
          <w:rFonts w:ascii="Arial" w:eastAsia="Calibri" w:hAnsi="Arial"/>
          <w:szCs w:val="20"/>
        </w:rPr>
        <w:t xml:space="preserve">The economic stress index, which measures factors like interest rates, inflation and unemployment, increased 3.2% year-on-year, the fourth month of growing stress.  The index also increased on a month-on-month and quarter-on-quarter basis and was 5.5% higher than three years ago. Aside from inflation and interest rates, which are up from </w:t>
      </w:r>
      <w:r>
        <w:rPr>
          <w:rFonts w:ascii="Arial" w:eastAsia="Calibri" w:hAnsi="Arial"/>
          <w:szCs w:val="20"/>
        </w:rPr>
        <w:t xml:space="preserve">a </w:t>
      </w:r>
      <w:r w:rsidRPr="00451021">
        <w:rPr>
          <w:rFonts w:ascii="Arial" w:eastAsia="Calibri" w:hAnsi="Arial"/>
          <w:szCs w:val="20"/>
        </w:rPr>
        <w:t>year ago, the main driver of economic stress in KwaZulu-Natal was that the province's unemployment rate climbed to 23.7%. While this is still lower than the national unemployment rate of 25.5%, joblessness in KwaZulu-Natal is now at its highest since February 2008.</w:t>
      </w:r>
    </w:p>
    <w:p w:rsidR="00F663AA" w:rsidRDefault="00F663AA" w:rsidP="0083108D">
      <w:pPr>
        <w:spacing w:before="100" w:beforeAutospacing="1" w:after="100" w:afterAutospacing="1"/>
        <w:rPr>
          <w:rFonts w:ascii="Arial" w:hAnsi="Arial"/>
          <w:b/>
          <w:bCs/>
          <w:szCs w:val="20"/>
        </w:rPr>
      </w:pPr>
    </w:p>
    <w:p w:rsidR="0083108D" w:rsidRDefault="00484B41" w:rsidP="0083108D">
      <w:pPr>
        <w:spacing w:before="100" w:beforeAutospacing="1" w:after="100" w:afterAutospacing="1"/>
        <w:rPr>
          <w:rFonts w:ascii="Arial" w:hAnsi="Arial"/>
          <w:b/>
          <w:bCs/>
          <w:szCs w:val="20"/>
        </w:rPr>
      </w:pPr>
      <w:r w:rsidRPr="00451021">
        <w:rPr>
          <w:rFonts w:ascii="Arial" w:hAnsi="Arial"/>
          <w:b/>
          <w:bCs/>
          <w:szCs w:val="20"/>
        </w:rPr>
        <w:lastRenderedPageBreak/>
        <w:t>Agriculture sets its own trend</w:t>
      </w:r>
      <w:r w:rsidR="0083108D">
        <w:rPr>
          <w:rFonts w:ascii="Arial" w:hAnsi="Arial"/>
          <w:b/>
          <w:bCs/>
          <w:szCs w:val="20"/>
        </w:rPr>
        <w:t xml:space="preserve"> </w:t>
      </w:r>
    </w:p>
    <w:p w:rsidR="0083108D" w:rsidRPr="00427E0F" w:rsidRDefault="00484B41" w:rsidP="00427E0F">
      <w:pPr>
        <w:spacing w:before="100" w:beforeAutospacing="1" w:after="100" w:afterAutospacing="1"/>
        <w:rPr>
          <w:rFonts w:ascii="Arial" w:hAnsi="Arial"/>
          <w:b/>
          <w:bCs/>
          <w:szCs w:val="20"/>
        </w:rPr>
      </w:pPr>
      <w:r w:rsidRPr="00451021">
        <w:rPr>
          <w:rFonts w:ascii="Arial" w:eastAsia="Calibri" w:hAnsi="Arial"/>
          <w:szCs w:val="20"/>
        </w:rPr>
        <w:t xml:space="preserve">There was some positive news as agriculture continued to increase on a year-on-year basis, although it came from a low base. </w:t>
      </w:r>
      <w:r w:rsidRPr="00451021">
        <w:rPr>
          <w:rFonts w:ascii="Arial" w:hAnsi="Arial"/>
          <w:szCs w:val="20"/>
        </w:rPr>
        <w:t xml:space="preserve">The agriculture index's year-on-year growth of 5.3% was somewhat slower than in the preceding two months and month-on-month the index was unchanged. Quarter-on-quarter agriculture grew 1.2% and the index was 1.4% up from three years ago. Agriculture follows its own cycle as it is dependent on weather conditions and commodity prices. The year-on-year growth was driven by a 6.8% increase in sugarcane crushed, a 3.3% increase in meat production and a 20.8% increase in field crops. </w:t>
      </w:r>
    </w:p>
    <w:p w:rsidR="0083108D" w:rsidRDefault="00484B41" w:rsidP="0083108D">
      <w:pPr>
        <w:rPr>
          <w:rFonts w:ascii="Arial" w:hAnsi="Arial"/>
          <w:b/>
          <w:szCs w:val="20"/>
        </w:rPr>
      </w:pPr>
      <w:r w:rsidRPr="00451021">
        <w:rPr>
          <w:rFonts w:ascii="Arial" w:hAnsi="Arial"/>
          <w:b/>
          <w:szCs w:val="20"/>
        </w:rPr>
        <w:t>Mining flat in KwaZulu-Natal</w:t>
      </w:r>
    </w:p>
    <w:p w:rsidR="00427E0F" w:rsidRPr="00451021" w:rsidRDefault="00427E0F" w:rsidP="0083108D">
      <w:pPr>
        <w:rPr>
          <w:rFonts w:ascii="Arial" w:hAnsi="Arial"/>
          <w:b/>
          <w:szCs w:val="20"/>
        </w:rPr>
      </w:pPr>
    </w:p>
    <w:p w:rsidR="00484B41" w:rsidRDefault="00484B41" w:rsidP="0083108D">
      <w:pPr>
        <w:rPr>
          <w:rFonts w:ascii="Arial" w:hAnsi="Arial"/>
          <w:b/>
          <w:szCs w:val="20"/>
        </w:rPr>
      </w:pPr>
      <w:r w:rsidRPr="00451021">
        <w:rPr>
          <w:rFonts w:ascii="Arial" w:hAnsi="Arial"/>
          <w:szCs w:val="20"/>
        </w:rPr>
        <w:t xml:space="preserve">Mining in KwaZulu-Natal still struggles to pick up pace, even as the five-month platinum strike, that ended June 24, did not have a direct effect on the province's mining industry. The mining index increased 0.6% year-on-year and 2.3% quarter-on-quarter, but was down 0.2% on the month before. Coal mining, which accounts for more than two-thirds of mining in KwaZulu-Natal, grew 0.5%. This was probably driven by an increased demand for coal by Eskom in the winter months and coal exports being back to normal after the Richards Bay coal terminal power outage. The mining of building materials dropped 12% as the construction sector continued its decline. </w:t>
      </w:r>
    </w:p>
    <w:p w:rsidR="00484B41" w:rsidRDefault="00484B41" w:rsidP="0083108D">
      <w:pPr>
        <w:rPr>
          <w:rFonts w:ascii="Arial" w:hAnsi="Arial"/>
          <w:b/>
          <w:szCs w:val="20"/>
        </w:rPr>
      </w:pPr>
    </w:p>
    <w:p w:rsidR="0083108D" w:rsidRDefault="00484B41" w:rsidP="0083108D">
      <w:pPr>
        <w:rPr>
          <w:rFonts w:ascii="Arial" w:hAnsi="Arial"/>
          <w:b/>
          <w:szCs w:val="20"/>
        </w:rPr>
      </w:pPr>
      <w:r w:rsidRPr="00451021">
        <w:rPr>
          <w:rFonts w:ascii="Arial" w:hAnsi="Arial"/>
          <w:b/>
          <w:szCs w:val="20"/>
        </w:rPr>
        <w:t>Manufacturing turns negative for first time in six months</w:t>
      </w:r>
    </w:p>
    <w:p w:rsidR="00427E0F" w:rsidRPr="0083108D" w:rsidRDefault="00427E0F" w:rsidP="0083108D">
      <w:pPr>
        <w:rPr>
          <w:rFonts w:ascii="Arial" w:hAnsi="Arial"/>
          <w:b/>
          <w:szCs w:val="20"/>
        </w:rPr>
      </w:pPr>
    </w:p>
    <w:p w:rsidR="00484B41" w:rsidRDefault="00484B41" w:rsidP="0083108D">
      <w:pPr>
        <w:rPr>
          <w:rFonts w:ascii="Arial" w:hAnsi="Arial"/>
          <w:szCs w:val="20"/>
        </w:rPr>
      </w:pPr>
      <w:r w:rsidRPr="00451021">
        <w:rPr>
          <w:rFonts w:ascii="Arial" w:hAnsi="Arial"/>
          <w:szCs w:val="20"/>
        </w:rPr>
        <w:t>The manufacturing index was down 1.6% year-on-year, the first time that it has turned negative this year, and was also negative on a month-on-month and quarter-on-quarter basis. This is probably due to the negative sentiment and lack of overall confidence, which is brought about by rising inflation and higher interest rates, among businesses and consumers who are delaying the purchases of durable goods. Manufacturing of vehicles and parts fell 16% while the production of food and beverages, which is mostly an essential category of goods, decreased by 4.3%.</w:t>
      </w:r>
    </w:p>
    <w:p w:rsidR="0083108D" w:rsidRPr="00451021" w:rsidRDefault="0083108D" w:rsidP="0083108D">
      <w:pPr>
        <w:rPr>
          <w:rFonts w:ascii="Arial" w:hAnsi="Arial"/>
          <w:szCs w:val="20"/>
        </w:rPr>
      </w:pPr>
    </w:p>
    <w:p w:rsidR="0083108D" w:rsidRDefault="00484B41" w:rsidP="0083108D">
      <w:pPr>
        <w:rPr>
          <w:rFonts w:ascii="Arial" w:hAnsi="Arial"/>
          <w:b/>
          <w:szCs w:val="20"/>
        </w:rPr>
      </w:pPr>
      <w:r w:rsidRPr="00451021">
        <w:rPr>
          <w:rFonts w:ascii="Arial" w:hAnsi="Arial"/>
          <w:b/>
          <w:szCs w:val="20"/>
        </w:rPr>
        <w:t>Electricity usage up</w:t>
      </w:r>
    </w:p>
    <w:p w:rsidR="00427E0F" w:rsidRPr="00451021" w:rsidRDefault="00427E0F" w:rsidP="0083108D">
      <w:pPr>
        <w:rPr>
          <w:rFonts w:ascii="Arial" w:hAnsi="Arial"/>
          <w:b/>
          <w:szCs w:val="20"/>
        </w:rPr>
      </w:pPr>
    </w:p>
    <w:p w:rsidR="00484B41" w:rsidRPr="00BC769A" w:rsidRDefault="00484B41" w:rsidP="0083108D">
      <w:pPr>
        <w:rPr>
          <w:rFonts w:ascii="Arial" w:hAnsi="Arial"/>
          <w:szCs w:val="20"/>
        </w:rPr>
      </w:pPr>
      <w:r w:rsidRPr="00451021">
        <w:rPr>
          <w:rFonts w:ascii="Arial" w:hAnsi="Arial"/>
          <w:szCs w:val="20"/>
        </w:rPr>
        <w:t>Electricity usage came in quite strong despite one aluminium smelter in Richards Bay that has been switched off. The electricity index was up 1.9% on a year ago, and has now been positive for 12 out of the last 13 months. This recent increase may be as a result of the higher electricity demand in the winter months as consumers use more electricity for heating purposes. However, electricity distributed was down 0.4% on a month-on-month and quarter-on-quarter basis. With Eskom trying to plug a R225 billion shortfall, electricity prices are bound to increase sharply, which will curb demand further.</w:t>
      </w:r>
    </w:p>
    <w:p w:rsidR="0083108D" w:rsidRDefault="0083108D" w:rsidP="0083108D">
      <w:pPr>
        <w:rPr>
          <w:rFonts w:ascii="Arial" w:hAnsi="Arial"/>
          <w:b/>
          <w:szCs w:val="20"/>
        </w:rPr>
      </w:pPr>
    </w:p>
    <w:p w:rsidR="00427E0F" w:rsidRDefault="00427E0F" w:rsidP="0083108D">
      <w:pPr>
        <w:rPr>
          <w:rFonts w:ascii="Arial" w:hAnsi="Arial"/>
          <w:b/>
          <w:szCs w:val="20"/>
        </w:rPr>
      </w:pPr>
    </w:p>
    <w:p w:rsidR="00427E0F" w:rsidRDefault="00427E0F" w:rsidP="0083108D">
      <w:pPr>
        <w:rPr>
          <w:rFonts w:ascii="Arial" w:hAnsi="Arial"/>
          <w:b/>
          <w:szCs w:val="20"/>
        </w:rPr>
      </w:pPr>
    </w:p>
    <w:p w:rsidR="0083108D" w:rsidRDefault="00484B41" w:rsidP="0083108D">
      <w:pPr>
        <w:rPr>
          <w:rFonts w:ascii="Arial" w:hAnsi="Arial"/>
          <w:b/>
          <w:szCs w:val="20"/>
        </w:rPr>
      </w:pPr>
      <w:r w:rsidRPr="00451021">
        <w:rPr>
          <w:rFonts w:ascii="Arial" w:hAnsi="Arial"/>
          <w:b/>
          <w:szCs w:val="20"/>
        </w:rPr>
        <w:lastRenderedPageBreak/>
        <w:t xml:space="preserve">Construction in the doldrums </w:t>
      </w:r>
    </w:p>
    <w:p w:rsidR="00427E0F" w:rsidRPr="0083108D" w:rsidRDefault="00427E0F" w:rsidP="0083108D">
      <w:pPr>
        <w:rPr>
          <w:rFonts w:ascii="Arial" w:hAnsi="Arial"/>
          <w:b/>
          <w:szCs w:val="20"/>
        </w:rPr>
      </w:pPr>
    </w:p>
    <w:p w:rsidR="00484B41" w:rsidRDefault="00484B41" w:rsidP="0083108D">
      <w:pPr>
        <w:rPr>
          <w:rFonts w:ascii="Arial" w:hAnsi="Arial"/>
          <w:szCs w:val="20"/>
        </w:rPr>
      </w:pPr>
      <w:r w:rsidRPr="00451021">
        <w:rPr>
          <w:rFonts w:ascii="Arial" w:hAnsi="Arial"/>
          <w:szCs w:val="20"/>
        </w:rPr>
        <w:t>Construction was down on all measures and dropped 10.4% on a year ago, 3.4% on a month ago and 1.2% on the previous quarter.  Of greater concern is the fact that the construction index was 28.5% down from three years ago. The declines show consumers and businesses continue to hold back on investing in large projects. Large residential buildings completed were down 32.5% from a year ago, further indicating the tough consumer environment.</w:t>
      </w:r>
    </w:p>
    <w:p w:rsidR="000E28B9" w:rsidRPr="00451021" w:rsidRDefault="000E28B9" w:rsidP="0083108D">
      <w:pPr>
        <w:rPr>
          <w:rFonts w:ascii="Arial" w:hAnsi="Arial"/>
          <w:szCs w:val="20"/>
        </w:rPr>
      </w:pPr>
    </w:p>
    <w:p w:rsidR="00484B41" w:rsidRDefault="00484B41" w:rsidP="0083108D">
      <w:pPr>
        <w:rPr>
          <w:rFonts w:ascii="Arial" w:hAnsi="Arial"/>
          <w:szCs w:val="20"/>
        </w:rPr>
      </w:pPr>
      <w:r w:rsidRPr="00451021">
        <w:rPr>
          <w:rFonts w:ascii="Arial" w:hAnsi="Arial"/>
          <w:szCs w:val="20"/>
        </w:rPr>
        <w:t xml:space="preserve">One positive aspect of the construction index was lumber sales, which increased by 15.3% </w:t>
      </w:r>
      <w:proofErr w:type="gramStart"/>
      <w:r w:rsidRPr="00451021">
        <w:rPr>
          <w:rFonts w:ascii="Arial" w:hAnsi="Arial"/>
          <w:szCs w:val="20"/>
        </w:rPr>
        <w:t>year-on-year</w:t>
      </w:r>
      <w:proofErr w:type="gramEnd"/>
      <w:r w:rsidRPr="00451021">
        <w:rPr>
          <w:rFonts w:ascii="Arial" w:hAnsi="Arial"/>
          <w:szCs w:val="20"/>
        </w:rPr>
        <w:t>. This could indicate that some informal building projects are still continuing, but also that additions and alterations to existing houses are taking place without planning permission. There may also be a combination of increased exports and less imports of lumber due to the weaker exchange rate. It is unlikely that the increase in lumber sales is due to furniture sales as this would make up at most 10% to 20% of lumber use and durable products such as furniture are suffering, as seen in the manufacturing index.</w:t>
      </w:r>
    </w:p>
    <w:p w:rsidR="0083108D" w:rsidRPr="00451021" w:rsidRDefault="0083108D" w:rsidP="0083108D">
      <w:pPr>
        <w:rPr>
          <w:rFonts w:ascii="Arial" w:hAnsi="Arial"/>
          <w:b/>
          <w:szCs w:val="20"/>
        </w:rPr>
      </w:pPr>
    </w:p>
    <w:p w:rsidR="0083108D" w:rsidRDefault="00484B41" w:rsidP="0083108D">
      <w:pPr>
        <w:rPr>
          <w:rFonts w:ascii="Arial" w:hAnsi="Arial"/>
          <w:b/>
          <w:szCs w:val="20"/>
        </w:rPr>
      </w:pPr>
      <w:r w:rsidRPr="00451021">
        <w:rPr>
          <w:rFonts w:ascii="Arial" w:hAnsi="Arial"/>
          <w:b/>
          <w:szCs w:val="20"/>
        </w:rPr>
        <w:t>Transport and communications a major positive driven mainly by data</w:t>
      </w:r>
    </w:p>
    <w:p w:rsidR="00427E0F" w:rsidRPr="00451021" w:rsidRDefault="00427E0F" w:rsidP="0083108D">
      <w:pPr>
        <w:rPr>
          <w:rFonts w:ascii="Arial" w:hAnsi="Arial"/>
          <w:b/>
          <w:szCs w:val="20"/>
        </w:rPr>
      </w:pPr>
    </w:p>
    <w:p w:rsidR="00484B41" w:rsidRDefault="00484B41" w:rsidP="0083108D">
      <w:pPr>
        <w:rPr>
          <w:rFonts w:ascii="Arial" w:hAnsi="Arial"/>
          <w:szCs w:val="20"/>
        </w:rPr>
      </w:pPr>
      <w:r w:rsidRPr="00451021">
        <w:rPr>
          <w:rFonts w:ascii="Arial" w:hAnsi="Arial"/>
          <w:szCs w:val="20"/>
        </w:rPr>
        <w:t xml:space="preserve">The KwaZulu-Natal transport and communications index grew 10.5% year-on-year, driven mainly by the 22.3% increase in data and communications due to the continuous increase in smartphone use. </w:t>
      </w:r>
    </w:p>
    <w:p w:rsidR="000E28B9" w:rsidRPr="00451021" w:rsidRDefault="000E28B9" w:rsidP="0083108D">
      <w:pPr>
        <w:rPr>
          <w:rFonts w:ascii="Arial" w:hAnsi="Arial"/>
          <w:szCs w:val="20"/>
        </w:rPr>
      </w:pPr>
    </w:p>
    <w:p w:rsidR="007757B7" w:rsidRDefault="00484B41" w:rsidP="0083108D">
      <w:pPr>
        <w:rPr>
          <w:rFonts w:ascii="Arial" w:hAnsi="Arial"/>
          <w:szCs w:val="20"/>
        </w:rPr>
      </w:pPr>
      <w:r w:rsidRPr="00451021">
        <w:rPr>
          <w:rFonts w:ascii="Arial" w:hAnsi="Arial"/>
          <w:szCs w:val="20"/>
        </w:rPr>
        <w:t>The transport side of the index is relatively flat with cargo handled by the two main ports in KZN increasing by 0.3%. Land transport increased by 1.1% over a year ago, also relatively flat. This would be due to the higher fuel prices that are affecting transporters' costs. Passenger arrivals at King Shaka International Airport dropped by 1.7% year-on-year. There has been a negative trend in passenger air transport for over a year now as businesses and consumers try to reduce costs and choose land transport as the cheaper alternative.</w:t>
      </w:r>
    </w:p>
    <w:p w:rsidR="0083108D" w:rsidRPr="00451021" w:rsidRDefault="0083108D" w:rsidP="0083108D">
      <w:pPr>
        <w:rPr>
          <w:rFonts w:ascii="Arial" w:hAnsi="Arial"/>
          <w:szCs w:val="20"/>
        </w:rPr>
      </w:pPr>
    </w:p>
    <w:p w:rsidR="00484B41" w:rsidRDefault="00484B41" w:rsidP="0083108D">
      <w:pPr>
        <w:rPr>
          <w:rFonts w:ascii="Arial" w:hAnsi="Arial"/>
          <w:b/>
          <w:szCs w:val="20"/>
        </w:rPr>
      </w:pPr>
      <w:r w:rsidRPr="00451021">
        <w:rPr>
          <w:rFonts w:ascii="Arial" w:hAnsi="Arial"/>
          <w:b/>
          <w:szCs w:val="20"/>
        </w:rPr>
        <w:t>Trade suffering from strained business environment</w:t>
      </w:r>
    </w:p>
    <w:p w:rsidR="00427E0F" w:rsidRPr="00451021" w:rsidRDefault="00427E0F" w:rsidP="0083108D">
      <w:pPr>
        <w:rPr>
          <w:rFonts w:ascii="Arial" w:hAnsi="Arial"/>
          <w:szCs w:val="20"/>
        </w:rPr>
      </w:pPr>
    </w:p>
    <w:p w:rsidR="00484B41" w:rsidRDefault="00484B41" w:rsidP="0083108D">
      <w:pPr>
        <w:rPr>
          <w:rFonts w:ascii="Arial" w:hAnsi="Arial"/>
          <w:szCs w:val="20"/>
        </w:rPr>
      </w:pPr>
      <w:r w:rsidRPr="00451021">
        <w:rPr>
          <w:rFonts w:ascii="Arial" w:hAnsi="Arial"/>
          <w:szCs w:val="20"/>
        </w:rPr>
        <w:t xml:space="preserve">The trade index again shows the effect of the current business and consumer conditions and the delay in purchasing durable goods. The index declined 1.1% year-on-year and was also down on a month-on-month and quarter-on-quarter basis. Retail sales were flat with growth of only 0.02%, indicating the South African consumer hasn’t pulled back completely, but they are watching their spending carefully. Vehicles sales were down 12%, which is a lot larger than the national decline which suggests that a greater percentage of a person’s monthly income in KwaZulu-Natal would go towards paying a vehicle. Vehicle sales have been negative for 10 consecutive months. </w:t>
      </w:r>
    </w:p>
    <w:p w:rsidR="000E28B9" w:rsidRPr="00451021" w:rsidRDefault="000E28B9" w:rsidP="0083108D">
      <w:pPr>
        <w:rPr>
          <w:rFonts w:ascii="Arial" w:hAnsi="Arial"/>
          <w:szCs w:val="20"/>
        </w:rPr>
      </w:pPr>
    </w:p>
    <w:p w:rsidR="00484B41" w:rsidRDefault="00484B41" w:rsidP="0083108D">
      <w:pPr>
        <w:rPr>
          <w:rFonts w:ascii="Arial" w:hAnsi="Arial"/>
          <w:szCs w:val="20"/>
        </w:rPr>
      </w:pPr>
      <w:r w:rsidRPr="00451021">
        <w:rPr>
          <w:rFonts w:ascii="Arial" w:hAnsi="Arial"/>
          <w:szCs w:val="20"/>
        </w:rPr>
        <w:t xml:space="preserve">The business of hotels and restaurants has been in decline for 28 months and petrol sales declined by 4.5%. Petrol sales have been down for the whole of South Africa for several months, an indicator of consumer stress. The </w:t>
      </w:r>
      <w:r w:rsidRPr="00451021">
        <w:rPr>
          <w:rFonts w:ascii="Arial" w:hAnsi="Arial"/>
          <w:szCs w:val="20"/>
        </w:rPr>
        <w:lastRenderedPageBreak/>
        <w:t xml:space="preserve">combined effects of higher petrol prices and better fuel efficiency lead to less petrol sales, which show that consumers are very careful about how they spend their money. </w:t>
      </w:r>
    </w:p>
    <w:p w:rsidR="000E28B9" w:rsidRPr="00451021" w:rsidRDefault="000E28B9" w:rsidP="0083108D">
      <w:pPr>
        <w:rPr>
          <w:rFonts w:ascii="Arial" w:hAnsi="Arial"/>
          <w:szCs w:val="20"/>
        </w:rPr>
      </w:pPr>
    </w:p>
    <w:p w:rsidR="00484B41" w:rsidRDefault="00484B41" w:rsidP="0083108D">
      <w:pPr>
        <w:rPr>
          <w:rFonts w:ascii="Arial" w:hAnsi="Arial"/>
          <w:szCs w:val="20"/>
        </w:rPr>
      </w:pPr>
      <w:r w:rsidRPr="00451021">
        <w:rPr>
          <w:rFonts w:ascii="Arial" w:hAnsi="Arial"/>
          <w:szCs w:val="20"/>
        </w:rPr>
        <w:t>Wholesale sales grew by 6.6%. Wholesale is holding up better with imports rather being substituted with domestic purchases due to the weakening of the rand. Wholesale sales include sales to other countries, which have become more competitive with the rand's weakening, and pre-arranged contract sales which are difficult to capture. The consumer in KwaZulu-Natal and South Africa is still under tremendous pressure and the trade index has been driven down by declines in luxury and big-ticket durable items.</w:t>
      </w:r>
    </w:p>
    <w:p w:rsidR="00F663AA" w:rsidRDefault="00F663AA" w:rsidP="0083108D">
      <w:pPr>
        <w:rPr>
          <w:rFonts w:ascii="Arial" w:hAnsi="Arial"/>
          <w:b/>
          <w:szCs w:val="20"/>
        </w:rPr>
      </w:pPr>
    </w:p>
    <w:p w:rsidR="00484B41" w:rsidRDefault="00484B41" w:rsidP="0083108D">
      <w:pPr>
        <w:rPr>
          <w:rFonts w:ascii="Arial" w:hAnsi="Arial"/>
          <w:b/>
          <w:szCs w:val="20"/>
        </w:rPr>
      </w:pPr>
      <w:r w:rsidRPr="00451021">
        <w:rPr>
          <w:rFonts w:ascii="Arial" w:hAnsi="Arial"/>
          <w:b/>
          <w:szCs w:val="20"/>
        </w:rPr>
        <w:t>Municipalities continue underspending</w:t>
      </w:r>
    </w:p>
    <w:p w:rsidR="00427E0F" w:rsidRPr="00451021" w:rsidRDefault="00427E0F" w:rsidP="0083108D">
      <w:pPr>
        <w:rPr>
          <w:rFonts w:ascii="Arial" w:hAnsi="Arial"/>
          <w:szCs w:val="20"/>
        </w:rPr>
      </w:pPr>
    </w:p>
    <w:p w:rsidR="00484B41" w:rsidRDefault="00484B41" w:rsidP="0083108D">
      <w:pPr>
        <w:rPr>
          <w:rFonts w:ascii="Arial" w:hAnsi="Arial"/>
          <w:szCs w:val="20"/>
        </w:rPr>
      </w:pPr>
      <w:r w:rsidRPr="00451021">
        <w:rPr>
          <w:rFonts w:ascii="Arial" w:hAnsi="Arial"/>
          <w:szCs w:val="20"/>
        </w:rPr>
        <w:t>The government index declined 2.2% year-on-year and 0.3% month-on-month. Government spending in KwaZulu-Natal is held back by underspending by the province's municipalities. It may be that they are not managing to collect payments from households and businesses in these strained times and hence do not have the budgets to spend.</w:t>
      </w:r>
    </w:p>
    <w:p w:rsidR="0083108D" w:rsidRPr="00451021" w:rsidRDefault="0083108D" w:rsidP="0083108D">
      <w:pPr>
        <w:rPr>
          <w:rFonts w:ascii="Arial" w:hAnsi="Arial"/>
          <w:szCs w:val="20"/>
        </w:rPr>
      </w:pPr>
    </w:p>
    <w:p w:rsidR="00484B41" w:rsidRDefault="00484B41" w:rsidP="0083108D">
      <w:pPr>
        <w:rPr>
          <w:rFonts w:ascii="Arial" w:hAnsi="Arial"/>
          <w:b/>
          <w:szCs w:val="20"/>
        </w:rPr>
      </w:pPr>
      <w:r w:rsidRPr="00451021">
        <w:rPr>
          <w:rFonts w:ascii="Arial" w:hAnsi="Arial"/>
          <w:b/>
          <w:szCs w:val="20"/>
        </w:rPr>
        <w:t>Finance, real estate and business services still struggling</w:t>
      </w:r>
    </w:p>
    <w:p w:rsidR="00427E0F" w:rsidRPr="00451021" w:rsidRDefault="00427E0F" w:rsidP="0083108D">
      <w:pPr>
        <w:rPr>
          <w:rFonts w:ascii="Arial" w:hAnsi="Arial"/>
          <w:b/>
          <w:szCs w:val="20"/>
        </w:rPr>
      </w:pPr>
    </w:p>
    <w:p w:rsidR="00484B41" w:rsidRDefault="00484B41" w:rsidP="0083108D">
      <w:pPr>
        <w:rPr>
          <w:rFonts w:ascii="Arial" w:hAnsi="Arial"/>
          <w:szCs w:val="20"/>
        </w:rPr>
      </w:pPr>
      <w:r w:rsidRPr="00451021">
        <w:rPr>
          <w:rFonts w:ascii="Arial" w:hAnsi="Arial"/>
          <w:szCs w:val="20"/>
        </w:rPr>
        <w:t>The finance, real estate and business services index in KwaZulu-Natal declined 3.1% on a year ago, and was relatively flat month-on-month with a 0.04% increase. Quarter-on-quarter the index fell 2.5%, the third consecutive month of decline. Property transfers increased 1.2% on a year ago and mortgages decreased by 2.7% over the same period which may indicate a combination of buyers paying larger deposits on their properties and banks demanding larger deposits from buyers. Coastal real estate is starting to look more attractive but this is probably driven by foreign purchasers. Existing properties seem to be more popular when looking at the decline in new building</w:t>
      </w:r>
      <w:r>
        <w:rPr>
          <w:rFonts w:ascii="Arial" w:hAnsi="Arial"/>
          <w:szCs w:val="20"/>
        </w:rPr>
        <w:t>s</w:t>
      </w:r>
      <w:r w:rsidRPr="00451021">
        <w:rPr>
          <w:rFonts w:ascii="Arial" w:hAnsi="Arial"/>
          <w:szCs w:val="20"/>
        </w:rPr>
        <w:t xml:space="preserve">. </w:t>
      </w:r>
    </w:p>
    <w:p w:rsidR="000E28B9" w:rsidRPr="00451021" w:rsidRDefault="000E28B9" w:rsidP="0083108D">
      <w:pPr>
        <w:rPr>
          <w:rFonts w:ascii="Arial" w:hAnsi="Arial"/>
          <w:szCs w:val="20"/>
        </w:rPr>
      </w:pPr>
    </w:p>
    <w:p w:rsidR="00484B41" w:rsidRDefault="00484B41" w:rsidP="0083108D">
      <w:pPr>
        <w:rPr>
          <w:rFonts w:ascii="Arial" w:hAnsi="Arial"/>
          <w:szCs w:val="20"/>
        </w:rPr>
      </w:pPr>
      <w:r w:rsidRPr="00451021">
        <w:rPr>
          <w:rFonts w:ascii="Arial" w:hAnsi="Arial"/>
          <w:szCs w:val="20"/>
        </w:rPr>
        <w:t>Instalment sales grew by 4.9%, but this has also slowed further, reflecting the tough domestic environment. Advertising spend declined 8.5% on a year ago, which is mainly attributed to advertising cutbacks in print publications as consumer habits</w:t>
      </w:r>
      <w:r>
        <w:rPr>
          <w:rFonts w:ascii="Arial" w:hAnsi="Arial"/>
          <w:szCs w:val="20"/>
        </w:rPr>
        <w:t xml:space="preserve"> change and fewer newspapers are being</w:t>
      </w:r>
      <w:r w:rsidRPr="00451021">
        <w:rPr>
          <w:rFonts w:ascii="Arial" w:hAnsi="Arial"/>
          <w:szCs w:val="20"/>
        </w:rPr>
        <w:t xml:space="preserve"> circulated, suggesting that the media industry is having a tough time.</w:t>
      </w:r>
    </w:p>
    <w:p w:rsidR="000E28B9" w:rsidRPr="00451021" w:rsidRDefault="000E28B9" w:rsidP="0083108D">
      <w:pPr>
        <w:rPr>
          <w:rFonts w:ascii="Arial" w:hAnsi="Arial"/>
          <w:szCs w:val="20"/>
        </w:rPr>
      </w:pPr>
    </w:p>
    <w:p w:rsidR="00484B41" w:rsidRPr="00451021" w:rsidRDefault="00484B41" w:rsidP="0083108D">
      <w:pPr>
        <w:rPr>
          <w:rFonts w:ascii="Arial" w:hAnsi="Arial"/>
          <w:szCs w:val="20"/>
        </w:rPr>
      </w:pPr>
      <w:r w:rsidRPr="00451021">
        <w:rPr>
          <w:rFonts w:ascii="Arial" w:hAnsi="Arial"/>
          <w:szCs w:val="20"/>
        </w:rPr>
        <w:t>Civil debt cases are down by 35.1% from a year ago, which means less economic stress, but results in less work for the law and accounting firms.</w:t>
      </w:r>
    </w:p>
    <w:p w:rsidR="00421A3B" w:rsidRDefault="00421A3B" w:rsidP="0083108D">
      <w:pPr>
        <w:widowControl w:val="0"/>
        <w:jc w:val="left"/>
        <w:rPr>
          <w:rFonts w:ascii="Arial" w:hAnsi="Arial"/>
          <w:b/>
          <w:bCs/>
          <w:szCs w:val="20"/>
        </w:rPr>
      </w:pPr>
    </w:p>
    <w:p w:rsidR="00421A3B" w:rsidRDefault="00421A3B" w:rsidP="0083108D">
      <w:pPr>
        <w:widowControl w:val="0"/>
        <w:jc w:val="left"/>
        <w:rPr>
          <w:rFonts w:ascii="Arial" w:hAnsi="Arial"/>
          <w:b/>
          <w:bCs/>
          <w:szCs w:val="20"/>
        </w:rPr>
      </w:pPr>
    </w:p>
    <w:p w:rsidR="00421A3B" w:rsidRDefault="00421A3B" w:rsidP="0083108D">
      <w:pPr>
        <w:widowControl w:val="0"/>
        <w:jc w:val="left"/>
        <w:rPr>
          <w:rFonts w:ascii="Arial" w:hAnsi="Arial"/>
          <w:b/>
          <w:bCs/>
          <w:szCs w:val="20"/>
        </w:rPr>
      </w:pPr>
    </w:p>
    <w:p w:rsidR="00421A3B" w:rsidRDefault="00421A3B" w:rsidP="0083108D">
      <w:pPr>
        <w:widowControl w:val="0"/>
        <w:jc w:val="left"/>
        <w:rPr>
          <w:rFonts w:ascii="Arial" w:hAnsi="Arial"/>
          <w:b/>
          <w:bCs/>
          <w:szCs w:val="20"/>
        </w:rPr>
      </w:pPr>
    </w:p>
    <w:p w:rsidR="007757B7" w:rsidRDefault="007757B7" w:rsidP="0083108D">
      <w:pPr>
        <w:widowControl w:val="0"/>
        <w:jc w:val="left"/>
        <w:rPr>
          <w:rFonts w:ascii="Arial" w:hAnsi="Arial"/>
          <w:b/>
          <w:lang w:val="en-GB"/>
        </w:rPr>
      </w:pPr>
    </w:p>
    <w:p w:rsidR="007757B7" w:rsidRDefault="007757B7" w:rsidP="0083108D">
      <w:pPr>
        <w:widowControl w:val="0"/>
        <w:jc w:val="left"/>
        <w:rPr>
          <w:rFonts w:ascii="Arial" w:hAnsi="Arial"/>
          <w:b/>
          <w:lang w:val="en-GB"/>
        </w:rPr>
      </w:pPr>
      <w:r>
        <w:rPr>
          <w:noProof/>
          <w:lang w:val="en-ZA" w:eastAsia="en-ZA"/>
        </w:rPr>
        <w:lastRenderedPageBreak/>
        <w:drawing>
          <wp:inline distT="0" distB="0" distL="0" distR="0">
            <wp:extent cx="5943600" cy="388112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757B7" w:rsidRDefault="007757B7" w:rsidP="0083108D">
      <w:pPr>
        <w:widowControl w:val="0"/>
        <w:jc w:val="left"/>
        <w:rPr>
          <w:rFonts w:ascii="Arial" w:hAnsi="Arial"/>
          <w:b/>
          <w:lang w:val="en-GB"/>
        </w:rPr>
      </w:pPr>
    </w:p>
    <w:p w:rsidR="007757B7" w:rsidRDefault="007757B7" w:rsidP="0083108D">
      <w:pPr>
        <w:widowControl w:val="0"/>
        <w:jc w:val="left"/>
        <w:rPr>
          <w:rFonts w:ascii="Arial" w:hAnsi="Arial"/>
          <w:b/>
          <w:lang w:val="en-GB"/>
        </w:rPr>
      </w:pPr>
    </w:p>
    <w:p w:rsidR="007757B7" w:rsidRDefault="007757B7" w:rsidP="0083108D">
      <w:pPr>
        <w:widowControl w:val="0"/>
        <w:jc w:val="left"/>
        <w:rPr>
          <w:rFonts w:ascii="Arial" w:hAnsi="Arial"/>
          <w:b/>
          <w:lang w:val="en-GB"/>
        </w:rPr>
      </w:pPr>
    </w:p>
    <w:p w:rsidR="007757B7" w:rsidRDefault="007757B7" w:rsidP="0083108D">
      <w:pPr>
        <w:widowControl w:val="0"/>
        <w:jc w:val="left"/>
        <w:rPr>
          <w:rFonts w:ascii="Arial" w:hAnsi="Arial"/>
          <w:b/>
          <w:lang w:val="en-GB"/>
        </w:rPr>
      </w:pPr>
    </w:p>
    <w:p w:rsidR="007757B7" w:rsidRDefault="007757B7" w:rsidP="0083108D">
      <w:pPr>
        <w:widowControl w:val="0"/>
        <w:jc w:val="left"/>
        <w:rPr>
          <w:rFonts w:ascii="Arial" w:hAnsi="Arial"/>
          <w:b/>
          <w:lang w:val="en-GB"/>
        </w:rPr>
      </w:pPr>
    </w:p>
    <w:p w:rsidR="007757B7" w:rsidRDefault="007757B7" w:rsidP="0083108D">
      <w:pPr>
        <w:widowControl w:val="0"/>
        <w:jc w:val="left"/>
        <w:rPr>
          <w:rFonts w:ascii="Arial" w:hAnsi="Arial"/>
          <w:b/>
          <w:lang w:val="en-GB"/>
        </w:rPr>
      </w:pPr>
    </w:p>
    <w:p w:rsidR="00400F91" w:rsidRPr="00C34897" w:rsidRDefault="001A473C" w:rsidP="0083108D">
      <w:pPr>
        <w:widowControl w:val="0"/>
        <w:jc w:val="left"/>
        <w:rPr>
          <w:rFonts w:ascii="Arial" w:eastAsia="Calibri" w:hAnsi="Arial"/>
          <w:color w:val="auto"/>
          <w:szCs w:val="20"/>
          <w:lang w:val="en-GB"/>
        </w:rPr>
      </w:pPr>
      <w:r>
        <w:rPr>
          <w:rFonts w:ascii="Arial" w:hAnsi="Arial"/>
          <w:b/>
          <w:lang w:val="en-GB"/>
        </w:rPr>
        <w:t>Results Table:</w:t>
      </w:r>
      <w:r w:rsidR="00405D35">
        <w:rPr>
          <w:rFonts w:ascii="Arial" w:hAnsi="Arial"/>
          <w:b/>
          <w:lang w:val="en-GB"/>
        </w:rPr>
        <w:t xml:space="preserve"> </w:t>
      </w:r>
      <w:r w:rsidR="00484B41">
        <w:rPr>
          <w:rFonts w:ascii="Arial" w:hAnsi="Arial"/>
          <w:b/>
          <w:lang w:val="en-GB"/>
        </w:rPr>
        <w:t>June</w:t>
      </w:r>
      <w:r w:rsidR="00400F91" w:rsidRPr="00400F91">
        <w:rPr>
          <w:rFonts w:ascii="Arial" w:hAnsi="Arial"/>
          <w:b/>
          <w:lang w:val="en-GB"/>
        </w:rPr>
        <w:t xml:space="preserve"> 201</w:t>
      </w:r>
      <w:r w:rsidR="00405D35">
        <w:rPr>
          <w:rFonts w:ascii="Arial" w:hAnsi="Arial"/>
          <w:b/>
          <w:lang w:val="en-GB"/>
        </w:rPr>
        <w:t>4</w:t>
      </w:r>
    </w:p>
    <w:p w:rsidR="00454BB1" w:rsidRPr="00816183" w:rsidRDefault="0083108D" w:rsidP="0083108D">
      <w:pPr>
        <w:spacing w:before="100" w:beforeAutospacing="1" w:after="100" w:afterAutospacing="1"/>
        <w:rPr>
          <w:rFonts w:ascii="Arial" w:hAnsi="Arial"/>
          <w:lang w:val="en-GB"/>
        </w:rPr>
      </w:pPr>
      <w:r w:rsidRPr="0083108D">
        <w:rPr>
          <w:noProof/>
          <w:lang w:val="en-ZA" w:eastAsia="en-ZA"/>
        </w:rPr>
        <w:drawing>
          <wp:inline distT="0" distB="0" distL="0" distR="0">
            <wp:extent cx="6480810" cy="22323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232372"/>
                    </a:xfrm>
                    <a:prstGeom prst="rect">
                      <a:avLst/>
                    </a:prstGeom>
                    <a:noFill/>
                    <a:ln>
                      <a:noFill/>
                    </a:ln>
                  </pic:spPr>
                </pic:pic>
              </a:graphicData>
            </a:graphic>
          </wp:inline>
        </w:drawing>
      </w:r>
      <w:r w:rsidR="00400F91" w:rsidRPr="00400F91">
        <w:rPr>
          <w:rFonts w:ascii="Arial" w:hAnsi="Arial"/>
          <w:lang w:val="en-GB"/>
        </w:rPr>
        <w:t xml:space="preserve"> </w:t>
      </w:r>
    </w:p>
    <w:sectPr w:rsidR="00454BB1" w:rsidRPr="00816183" w:rsidSect="003B0BDF">
      <w:headerReference w:type="default" r:id="rId12"/>
      <w:footerReference w:type="default" r:id="rId13"/>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99D" w:rsidRDefault="0010199D" w:rsidP="005A53F9">
      <w:pPr>
        <w:spacing w:line="240" w:lineRule="auto"/>
      </w:pPr>
      <w:r>
        <w:separator/>
      </w:r>
    </w:p>
  </w:endnote>
  <w:endnote w:type="continuationSeparator" w:id="0">
    <w:p w:rsidR="0010199D" w:rsidRDefault="0010199D"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imes New Roman">
    <w:altName w:val="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CE6C88">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04A22" w:rsidRPr="009A05FE" w:rsidRDefault="00704A22"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99D" w:rsidRDefault="0010199D" w:rsidP="005A53F9">
      <w:pPr>
        <w:spacing w:line="240" w:lineRule="auto"/>
      </w:pPr>
      <w:r>
        <w:separator/>
      </w:r>
    </w:p>
  </w:footnote>
  <w:footnote w:type="continuationSeparator" w:id="0">
    <w:p w:rsidR="0010199D" w:rsidRDefault="0010199D"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BE3431">
    <w:pPr>
      <w:pStyle w:val="Header"/>
    </w:pPr>
    <w:r w:rsidRPr="00DA75F4">
      <w:rPr>
        <w:noProof/>
        <w:lang w:val="en-ZA" w:eastAsia="en-ZA"/>
      </w:rPr>
      <w:drawing>
        <wp:anchor distT="0" distB="0" distL="114300" distR="114300" simplePos="0" relativeHeight="251664384" behindDoc="0" locked="0" layoutInCell="1" allowOverlap="1">
          <wp:simplePos x="0" y="0"/>
          <wp:positionH relativeFrom="column">
            <wp:posOffset>5002530</wp:posOffset>
          </wp:positionH>
          <wp:positionV relativeFrom="paragraph">
            <wp:posOffset>118745</wp:posOffset>
          </wp:positionV>
          <wp:extent cx="2324100" cy="493395"/>
          <wp:effectExtent l="0" t="0" r="0" b="1905"/>
          <wp:wrapSquare wrapText="bothSides"/>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493395"/>
                  </a:xfrm>
                  <a:prstGeom prst="rect">
                    <a:avLst/>
                  </a:prstGeom>
                  <a:noFill/>
                  <a:ln w="9525">
                    <a:noFill/>
                    <a:miter lim="800000"/>
                    <a:headEnd/>
                    <a:tailEnd/>
                  </a:ln>
                </pic:spPr>
              </pic:pic>
            </a:graphicData>
          </a:graphic>
        </wp:anchor>
      </w:drawing>
    </w:r>
    <w:r w:rsidRPr="005A53F9">
      <w:rPr>
        <w:noProof/>
        <w:lang w:val="en-ZA" w:eastAsia="en-ZA"/>
      </w:rPr>
      <w:drawing>
        <wp:anchor distT="0" distB="0" distL="114300" distR="114300" simplePos="0" relativeHeight="251665408" behindDoc="0" locked="0" layoutInCell="1" allowOverlap="1">
          <wp:simplePos x="0" y="0"/>
          <wp:positionH relativeFrom="column">
            <wp:posOffset>2402840</wp:posOffset>
          </wp:positionH>
          <wp:positionV relativeFrom="paragraph">
            <wp:posOffset>-134620</wp:posOffset>
          </wp:positionV>
          <wp:extent cx="2481580" cy="74739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1580" cy="747395"/>
                  </a:xfrm>
                  <a:prstGeom prst="rect">
                    <a:avLst/>
                  </a:prstGeom>
                  <a:noFill/>
                  <a:ln w="9525">
                    <a:noFill/>
                    <a:miter lim="800000"/>
                    <a:headEnd/>
                    <a:tailEnd/>
                  </a:ln>
                </pic:spPr>
              </pic:pic>
            </a:graphicData>
          </a:graphic>
        </wp:anchor>
      </w:drawing>
    </w:r>
    <w:r>
      <w:rPr>
        <w:noProof/>
        <w:lang w:val="en-ZA" w:eastAsia="en-ZA"/>
      </w:rPr>
      <w:drawing>
        <wp:anchor distT="0" distB="0" distL="114300" distR="114300" simplePos="0" relativeHeight="251662336" behindDoc="1" locked="0" layoutInCell="1" allowOverlap="1">
          <wp:simplePos x="0" y="0"/>
          <wp:positionH relativeFrom="column">
            <wp:posOffset>64135</wp:posOffset>
          </wp:positionH>
          <wp:positionV relativeFrom="paragraph">
            <wp:posOffset>-71755</wp:posOffset>
          </wp:positionV>
          <wp:extent cx="2242185" cy="683260"/>
          <wp:effectExtent l="0" t="0" r="5715" b="2540"/>
          <wp:wrapTight wrapText="bothSides">
            <wp:wrapPolygon edited="0">
              <wp:start x="0" y="0"/>
              <wp:lineTo x="0" y="21078"/>
              <wp:lineTo x="21472" y="21078"/>
              <wp:lineTo x="21472" y="0"/>
              <wp:lineTo x="0" y="0"/>
            </wp:wrapPolygon>
          </wp:wrapTight>
          <wp:docPr id="4" name="Picture 4"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2185" cy="683260"/>
                  </a:xfrm>
                  <a:prstGeom prst="rect">
                    <a:avLst/>
                  </a:prstGeom>
                  <a:noFill/>
                  <a:ln>
                    <a:noFill/>
                  </a:ln>
                </pic:spPr>
              </pic:pic>
            </a:graphicData>
          </a:graphic>
        </wp:anchor>
      </w:drawing>
    </w:r>
    <w:r w:rsidR="00704A22">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rsids>
    <w:rsidRoot w:val="00454BB1"/>
    <w:rsid w:val="0000722D"/>
    <w:rsid w:val="00007D15"/>
    <w:rsid w:val="00032B0D"/>
    <w:rsid w:val="000A346C"/>
    <w:rsid w:val="000C27C2"/>
    <w:rsid w:val="000E28B9"/>
    <w:rsid w:val="000F6EDC"/>
    <w:rsid w:val="0010199D"/>
    <w:rsid w:val="00104892"/>
    <w:rsid w:val="00106B10"/>
    <w:rsid w:val="0012629B"/>
    <w:rsid w:val="0014110B"/>
    <w:rsid w:val="0014790D"/>
    <w:rsid w:val="00147D45"/>
    <w:rsid w:val="00183885"/>
    <w:rsid w:val="00184712"/>
    <w:rsid w:val="001A473C"/>
    <w:rsid w:val="001E4052"/>
    <w:rsid w:val="0028043A"/>
    <w:rsid w:val="002A1E66"/>
    <w:rsid w:val="002A796F"/>
    <w:rsid w:val="002E7147"/>
    <w:rsid w:val="00302CD6"/>
    <w:rsid w:val="00307C69"/>
    <w:rsid w:val="00345E2D"/>
    <w:rsid w:val="003941EF"/>
    <w:rsid w:val="00397D66"/>
    <w:rsid w:val="003A097F"/>
    <w:rsid w:val="003A7433"/>
    <w:rsid w:val="003B0BDF"/>
    <w:rsid w:val="003C1263"/>
    <w:rsid w:val="003D2C89"/>
    <w:rsid w:val="00400F91"/>
    <w:rsid w:val="00405D35"/>
    <w:rsid w:val="00421A3B"/>
    <w:rsid w:val="00427E0F"/>
    <w:rsid w:val="00433DD1"/>
    <w:rsid w:val="00451BA1"/>
    <w:rsid w:val="00454BB1"/>
    <w:rsid w:val="00484B41"/>
    <w:rsid w:val="00495543"/>
    <w:rsid w:val="004B5AB8"/>
    <w:rsid w:val="004E610A"/>
    <w:rsid w:val="0053637F"/>
    <w:rsid w:val="005428BC"/>
    <w:rsid w:val="00560FC5"/>
    <w:rsid w:val="00586B80"/>
    <w:rsid w:val="005A53F9"/>
    <w:rsid w:val="005B6CAE"/>
    <w:rsid w:val="005E1A21"/>
    <w:rsid w:val="005F396D"/>
    <w:rsid w:val="005F43B6"/>
    <w:rsid w:val="00617038"/>
    <w:rsid w:val="00662636"/>
    <w:rsid w:val="00670637"/>
    <w:rsid w:val="00680206"/>
    <w:rsid w:val="0069663D"/>
    <w:rsid w:val="006A6E68"/>
    <w:rsid w:val="006C21FF"/>
    <w:rsid w:val="006C3022"/>
    <w:rsid w:val="006D19E8"/>
    <w:rsid w:val="00704A22"/>
    <w:rsid w:val="007271FE"/>
    <w:rsid w:val="00730965"/>
    <w:rsid w:val="00756B58"/>
    <w:rsid w:val="007746EC"/>
    <w:rsid w:val="007757B7"/>
    <w:rsid w:val="0078035C"/>
    <w:rsid w:val="0078551F"/>
    <w:rsid w:val="007B66FB"/>
    <w:rsid w:val="007B7B78"/>
    <w:rsid w:val="007C6FEC"/>
    <w:rsid w:val="007D2C40"/>
    <w:rsid w:val="007E7531"/>
    <w:rsid w:val="008118BF"/>
    <w:rsid w:val="00816183"/>
    <w:rsid w:val="008231C5"/>
    <w:rsid w:val="0083108D"/>
    <w:rsid w:val="0084059C"/>
    <w:rsid w:val="00840899"/>
    <w:rsid w:val="00855F84"/>
    <w:rsid w:val="00894C8C"/>
    <w:rsid w:val="008B00E4"/>
    <w:rsid w:val="008C38FE"/>
    <w:rsid w:val="008E50FC"/>
    <w:rsid w:val="00935FCC"/>
    <w:rsid w:val="0093610D"/>
    <w:rsid w:val="00946625"/>
    <w:rsid w:val="00950B0E"/>
    <w:rsid w:val="009836EB"/>
    <w:rsid w:val="009F4B73"/>
    <w:rsid w:val="009F5A5D"/>
    <w:rsid w:val="00A31FFD"/>
    <w:rsid w:val="00A6357C"/>
    <w:rsid w:val="00A700CF"/>
    <w:rsid w:val="00AD6182"/>
    <w:rsid w:val="00AE7EF9"/>
    <w:rsid w:val="00B0793A"/>
    <w:rsid w:val="00B12C09"/>
    <w:rsid w:val="00B21D0C"/>
    <w:rsid w:val="00B523FA"/>
    <w:rsid w:val="00B63885"/>
    <w:rsid w:val="00B72457"/>
    <w:rsid w:val="00BC7C30"/>
    <w:rsid w:val="00BD3888"/>
    <w:rsid w:val="00BE3431"/>
    <w:rsid w:val="00C17D4A"/>
    <w:rsid w:val="00C34897"/>
    <w:rsid w:val="00C56111"/>
    <w:rsid w:val="00C76C67"/>
    <w:rsid w:val="00C94F75"/>
    <w:rsid w:val="00CA46F5"/>
    <w:rsid w:val="00CA4B02"/>
    <w:rsid w:val="00CC5AD1"/>
    <w:rsid w:val="00CC6F0B"/>
    <w:rsid w:val="00CD2455"/>
    <w:rsid w:val="00CD39B4"/>
    <w:rsid w:val="00CE02BC"/>
    <w:rsid w:val="00CE6C88"/>
    <w:rsid w:val="00D04DFB"/>
    <w:rsid w:val="00D05FA7"/>
    <w:rsid w:val="00D07179"/>
    <w:rsid w:val="00D177BD"/>
    <w:rsid w:val="00D231CB"/>
    <w:rsid w:val="00D63A37"/>
    <w:rsid w:val="00D7219C"/>
    <w:rsid w:val="00D75117"/>
    <w:rsid w:val="00D9328E"/>
    <w:rsid w:val="00DA1FE3"/>
    <w:rsid w:val="00DA75F4"/>
    <w:rsid w:val="00DB2505"/>
    <w:rsid w:val="00E4336B"/>
    <w:rsid w:val="00E654B2"/>
    <w:rsid w:val="00E72618"/>
    <w:rsid w:val="00E857F8"/>
    <w:rsid w:val="00EB6C11"/>
    <w:rsid w:val="00EC2FEE"/>
    <w:rsid w:val="00EC3702"/>
    <w:rsid w:val="00EE7031"/>
    <w:rsid w:val="00EF73C6"/>
    <w:rsid w:val="00F37AF9"/>
    <w:rsid w:val="00F37D2D"/>
    <w:rsid w:val="00F60399"/>
    <w:rsid w:val="00F62763"/>
    <w:rsid w:val="00F663AA"/>
    <w:rsid w:val="00F73E30"/>
    <w:rsid w:val="00F80359"/>
    <w:rsid w:val="00FB0F93"/>
    <w:rsid w:val="00FB36A2"/>
    <w:rsid w:val="00FB595E"/>
    <w:rsid w:val="00FB5DC0"/>
    <w:rsid w:val="00FC7EAD"/>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84100757">
      <w:bodyDiv w:val="1"/>
      <w:marLeft w:val="0"/>
      <w:marRight w:val="0"/>
      <w:marTop w:val="0"/>
      <w:marBottom w:val="0"/>
      <w:divBdr>
        <w:top w:val="none" w:sz="0" w:space="0" w:color="auto"/>
        <w:left w:val="none" w:sz="0" w:space="0" w:color="auto"/>
        <w:bottom w:val="none" w:sz="0" w:space="0" w:color="auto"/>
        <w:right w:val="none" w:sz="0" w:space="0" w:color="auto"/>
      </w:divBdr>
    </w:div>
    <w:div w:id="89701128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81178">
      <w:bodyDiv w:val="1"/>
      <w:marLeft w:val="0"/>
      <w:marRight w:val="0"/>
      <w:marTop w:val="0"/>
      <w:marBottom w:val="0"/>
      <w:divBdr>
        <w:top w:val="none" w:sz="0" w:space="0" w:color="auto"/>
        <w:left w:val="none" w:sz="0" w:space="0" w:color="auto"/>
        <w:bottom w:val="none" w:sz="0" w:space="0" w:color="auto"/>
        <w:right w:val="none" w:sz="0" w:space="0" w:color="auto"/>
      </w:divBdr>
    </w:div>
    <w:div w:id="1232036239">
      <w:bodyDiv w:val="1"/>
      <w:marLeft w:val="0"/>
      <w:marRight w:val="0"/>
      <w:marTop w:val="0"/>
      <w:marBottom w:val="0"/>
      <w:divBdr>
        <w:top w:val="none" w:sz="0" w:space="0" w:color="auto"/>
        <w:left w:val="none" w:sz="0" w:space="0" w:color="auto"/>
        <w:bottom w:val="none" w:sz="0" w:space="0" w:color="auto"/>
        <w:right w:val="none" w:sz="0" w:space="0" w:color="auto"/>
      </w:divBdr>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Economists\Desktop\Barometer\June%202014\KZN%20%20Totals%20Seasonally%20Adjusted.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conomists\Desktop\Barometer\June%202014\KZN%20%20Totals%20Seasonally%20Adjust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ZA"/>
  <c:chart>
    <c:title>
      <c:layout>
        <c:manualLayout>
          <c:xMode val="edge"/>
          <c:yMode val="edge"/>
          <c:x val="0.26272734369742246"/>
          <c:y val="7.169844335495798E-2"/>
        </c:manualLayout>
      </c:layout>
      <c:spPr>
        <a:noFill/>
        <a:ln w="25400">
          <a:noFill/>
        </a:ln>
      </c:spPr>
      <c:txPr>
        <a:bodyPr/>
        <a:lstStyle/>
        <a:p>
          <a:pPr>
            <a:defRPr lang="en-GB" sz="3200" b="1" i="0" u="none" strike="noStrike" baseline="0">
              <a:solidFill>
                <a:srgbClr val="000000"/>
              </a:solidFill>
              <a:latin typeface="Arial"/>
              <a:ea typeface="Arial"/>
              <a:cs typeface="Arial"/>
            </a:defRPr>
          </a:pPr>
          <a:endParaRPr lang="en-US"/>
        </a:p>
      </c:txPr>
    </c:title>
    <c:plotArea>
      <c:layout>
        <c:manualLayout>
          <c:layoutTarget val="inner"/>
          <c:xMode val="edge"/>
          <c:yMode val="edge"/>
          <c:x val="8.8108385490275248E-2"/>
          <c:y val="2.8203199076555226E-2"/>
          <c:w val="0.90193899653330145"/>
          <c:h val="0.84090295157084982"/>
        </c:manualLayout>
      </c:layout>
      <c:lineChart>
        <c:grouping val="standard"/>
        <c:ser>
          <c:idx val="0"/>
          <c:order val="0"/>
          <c:tx>
            <c:strRef>
              <c:f>'Final Indices (SA)'!$M$2</c:f>
              <c:strCache>
                <c:ptCount val="1"/>
                <c:pt idx="0">
                  <c:v>KZN  Barometer</c:v>
                </c:pt>
              </c:strCache>
            </c:strRef>
          </c:tx>
          <c:spPr>
            <a:ln w="63500">
              <a:solidFill>
                <a:schemeClr val="accent3"/>
              </a:solidFill>
              <a:prstDash val="solid"/>
            </a:ln>
          </c:spPr>
          <c:marker>
            <c:symbol val="none"/>
          </c:marker>
          <c:cat>
            <c:numRef>
              <c:f>'Final Indices (SA)'!$A$93:$A$153</c:f>
              <c:numCache>
                <c:formatCode>mmm\-yy</c:formatCode>
                <c:ptCount val="61"/>
                <c:pt idx="0">
                  <c:v>39965</c:v>
                </c:pt>
                <c:pt idx="1">
                  <c:v>39995</c:v>
                </c:pt>
                <c:pt idx="2">
                  <c:v>40026</c:v>
                </c:pt>
                <c:pt idx="3">
                  <c:v>40057</c:v>
                </c:pt>
                <c:pt idx="4">
                  <c:v>40087</c:v>
                </c:pt>
                <c:pt idx="5">
                  <c:v>40118</c:v>
                </c:pt>
                <c:pt idx="6">
                  <c:v>40148</c:v>
                </c:pt>
                <c:pt idx="7">
                  <c:v>40179</c:v>
                </c:pt>
                <c:pt idx="8">
                  <c:v>40210</c:v>
                </c:pt>
                <c:pt idx="9">
                  <c:v>40238</c:v>
                </c:pt>
                <c:pt idx="10">
                  <c:v>40269</c:v>
                </c:pt>
                <c:pt idx="11">
                  <c:v>40299</c:v>
                </c:pt>
                <c:pt idx="12">
                  <c:v>40330</c:v>
                </c:pt>
                <c:pt idx="13">
                  <c:v>40360</c:v>
                </c:pt>
                <c:pt idx="14">
                  <c:v>40391</c:v>
                </c:pt>
                <c:pt idx="15">
                  <c:v>40422</c:v>
                </c:pt>
                <c:pt idx="16">
                  <c:v>40452</c:v>
                </c:pt>
                <c:pt idx="17">
                  <c:v>40483</c:v>
                </c:pt>
                <c:pt idx="18">
                  <c:v>40513</c:v>
                </c:pt>
                <c:pt idx="19">
                  <c:v>40544</c:v>
                </c:pt>
                <c:pt idx="20">
                  <c:v>40575</c:v>
                </c:pt>
                <c:pt idx="21">
                  <c:v>40603</c:v>
                </c:pt>
                <c:pt idx="22">
                  <c:v>40634</c:v>
                </c:pt>
                <c:pt idx="23">
                  <c:v>40664</c:v>
                </c:pt>
                <c:pt idx="24">
                  <c:v>40695</c:v>
                </c:pt>
                <c:pt idx="25">
                  <c:v>40725</c:v>
                </c:pt>
                <c:pt idx="26">
                  <c:v>40756</c:v>
                </c:pt>
                <c:pt idx="27">
                  <c:v>40787</c:v>
                </c:pt>
                <c:pt idx="28">
                  <c:v>40817</c:v>
                </c:pt>
                <c:pt idx="29">
                  <c:v>40848</c:v>
                </c:pt>
                <c:pt idx="30">
                  <c:v>40878</c:v>
                </c:pt>
                <c:pt idx="31">
                  <c:v>40909</c:v>
                </c:pt>
                <c:pt idx="32">
                  <c:v>40940</c:v>
                </c:pt>
                <c:pt idx="33">
                  <c:v>40969</c:v>
                </c:pt>
                <c:pt idx="34">
                  <c:v>41000</c:v>
                </c:pt>
                <c:pt idx="35">
                  <c:v>41030</c:v>
                </c:pt>
                <c:pt idx="36">
                  <c:v>41061</c:v>
                </c:pt>
                <c:pt idx="37">
                  <c:v>41091</c:v>
                </c:pt>
                <c:pt idx="38">
                  <c:v>41122</c:v>
                </c:pt>
                <c:pt idx="39">
                  <c:v>41153</c:v>
                </c:pt>
                <c:pt idx="40">
                  <c:v>41183</c:v>
                </c:pt>
                <c:pt idx="41">
                  <c:v>41214</c:v>
                </c:pt>
                <c:pt idx="42">
                  <c:v>41244</c:v>
                </c:pt>
                <c:pt idx="43">
                  <c:v>41275</c:v>
                </c:pt>
                <c:pt idx="44">
                  <c:v>41306</c:v>
                </c:pt>
                <c:pt idx="45">
                  <c:v>41334</c:v>
                </c:pt>
                <c:pt idx="46">
                  <c:v>41365</c:v>
                </c:pt>
                <c:pt idx="47">
                  <c:v>41395</c:v>
                </c:pt>
                <c:pt idx="48">
                  <c:v>41426</c:v>
                </c:pt>
                <c:pt idx="49">
                  <c:v>41456</c:v>
                </c:pt>
                <c:pt idx="50">
                  <c:v>41487</c:v>
                </c:pt>
                <c:pt idx="51">
                  <c:v>41518</c:v>
                </c:pt>
                <c:pt idx="52">
                  <c:v>41548</c:v>
                </c:pt>
                <c:pt idx="53">
                  <c:v>41579</c:v>
                </c:pt>
                <c:pt idx="54">
                  <c:v>41609</c:v>
                </c:pt>
                <c:pt idx="55">
                  <c:v>41640</c:v>
                </c:pt>
                <c:pt idx="56">
                  <c:v>41671</c:v>
                </c:pt>
                <c:pt idx="57">
                  <c:v>41699</c:v>
                </c:pt>
                <c:pt idx="58">
                  <c:v>41730</c:v>
                </c:pt>
                <c:pt idx="59">
                  <c:v>41760</c:v>
                </c:pt>
                <c:pt idx="60">
                  <c:v>41791</c:v>
                </c:pt>
              </c:numCache>
            </c:numRef>
          </c:cat>
          <c:val>
            <c:numRef>
              <c:f>'Final Indices (SA)'!$M$93:$M$153</c:f>
              <c:numCache>
                <c:formatCode>0.0</c:formatCode>
                <c:ptCount val="61"/>
                <c:pt idx="0">
                  <c:v>97.773608475995303</c:v>
                </c:pt>
                <c:pt idx="1">
                  <c:v>97.977469433366693</c:v>
                </c:pt>
                <c:pt idx="2">
                  <c:v>99.788855225379393</c:v>
                </c:pt>
                <c:pt idx="3">
                  <c:v>99.522774781648408</c:v>
                </c:pt>
                <c:pt idx="4">
                  <c:v>99.125116438872453</c:v>
                </c:pt>
                <c:pt idx="5">
                  <c:v>98.945959955569691</c:v>
                </c:pt>
                <c:pt idx="6">
                  <c:v>98.571831565683695</c:v>
                </c:pt>
                <c:pt idx="7">
                  <c:v>101.13911039780503</c:v>
                </c:pt>
                <c:pt idx="8">
                  <c:v>99.883314132751678</c:v>
                </c:pt>
                <c:pt idx="9">
                  <c:v>101.04203111121967</c:v>
                </c:pt>
                <c:pt idx="10">
                  <c:v>101.0486456547798</c:v>
                </c:pt>
                <c:pt idx="11">
                  <c:v>101.304766079499</c:v>
                </c:pt>
                <c:pt idx="12">
                  <c:v>101.49467647535143</c:v>
                </c:pt>
                <c:pt idx="13">
                  <c:v>101.32120744077218</c:v>
                </c:pt>
                <c:pt idx="14">
                  <c:v>102.03783651959364</c:v>
                </c:pt>
                <c:pt idx="15">
                  <c:v>104.64960545131055</c:v>
                </c:pt>
                <c:pt idx="16">
                  <c:v>104.15651279578975</c:v>
                </c:pt>
                <c:pt idx="17">
                  <c:v>105.30563243436815</c:v>
                </c:pt>
                <c:pt idx="18">
                  <c:v>105.49853997518481</c:v>
                </c:pt>
                <c:pt idx="19">
                  <c:v>110.29090489997289</c:v>
                </c:pt>
                <c:pt idx="20">
                  <c:v>110.59786655252366</c:v>
                </c:pt>
                <c:pt idx="21">
                  <c:v>111.18403329362403</c:v>
                </c:pt>
                <c:pt idx="22">
                  <c:v>111.89037979145277</c:v>
                </c:pt>
                <c:pt idx="23">
                  <c:v>111.45688166418353</c:v>
                </c:pt>
                <c:pt idx="24">
                  <c:v>110.81521551219113</c:v>
                </c:pt>
                <c:pt idx="25">
                  <c:v>110.0191534981782</c:v>
                </c:pt>
                <c:pt idx="26">
                  <c:v>110.09775413870533</c:v>
                </c:pt>
                <c:pt idx="27">
                  <c:v>112.39537455615337</c:v>
                </c:pt>
                <c:pt idx="28">
                  <c:v>113.67200171185736</c:v>
                </c:pt>
                <c:pt idx="29">
                  <c:v>115.62321630278795</c:v>
                </c:pt>
                <c:pt idx="30">
                  <c:v>115.71674876693483</c:v>
                </c:pt>
                <c:pt idx="31">
                  <c:v>116.88218289567062</c:v>
                </c:pt>
                <c:pt idx="32">
                  <c:v>115.54419461152818</c:v>
                </c:pt>
                <c:pt idx="33">
                  <c:v>114.28775729964242</c:v>
                </c:pt>
                <c:pt idx="34">
                  <c:v>112.44831978875763</c:v>
                </c:pt>
                <c:pt idx="35">
                  <c:v>112.2253267040025</c:v>
                </c:pt>
                <c:pt idx="36">
                  <c:v>112.22333790561375</c:v>
                </c:pt>
                <c:pt idx="37">
                  <c:v>112.89474285757294</c:v>
                </c:pt>
                <c:pt idx="38">
                  <c:v>114.58803768774415</c:v>
                </c:pt>
                <c:pt idx="39">
                  <c:v>113.45120212966886</c:v>
                </c:pt>
                <c:pt idx="40">
                  <c:v>112.09016344782228</c:v>
                </c:pt>
                <c:pt idx="41">
                  <c:v>110.9262358260215</c:v>
                </c:pt>
                <c:pt idx="42">
                  <c:v>110.26007022691991</c:v>
                </c:pt>
                <c:pt idx="43">
                  <c:v>113.58344599735167</c:v>
                </c:pt>
                <c:pt idx="44">
                  <c:v>113.26498518802272</c:v>
                </c:pt>
                <c:pt idx="45">
                  <c:v>113.63630276151001</c:v>
                </c:pt>
                <c:pt idx="46">
                  <c:v>113.5042823112756</c:v>
                </c:pt>
                <c:pt idx="47">
                  <c:v>113.35322391547173</c:v>
                </c:pt>
                <c:pt idx="48">
                  <c:v>112.08606178049965</c:v>
                </c:pt>
                <c:pt idx="49">
                  <c:v>110.6999721111625</c:v>
                </c:pt>
                <c:pt idx="50">
                  <c:v>110.25761886484599</c:v>
                </c:pt>
                <c:pt idx="51">
                  <c:v>111.6122974728718</c:v>
                </c:pt>
                <c:pt idx="52">
                  <c:v>112.65508891333982</c:v>
                </c:pt>
                <c:pt idx="53">
                  <c:v>114.03918606260939</c:v>
                </c:pt>
                <c:pt idx="54">
                  <c:v>114.72911340466717</c:v>
                </c:pt>
                <c:pt idx="55">
                  <c:v>118.76282770001691</c:v>
                </c:pt>
                <c:pt idx="56">
                  <c:v>115.64197057781831</c:v>
                </c:pt>
                <c:pt idx="57">
                  <c:v>114.27578221489682</c:v>
                </c:pt>
                <c:pt idx="58">
                  <c:v>112.05860976627503</c:v>
                </c:pt>
                <c:pt idx="59">
                  <c:v>110.89500651552396</c:v>
                </c:pt>
                <c:pt idx="60">
                  <c:v>108.76504885891109</c:v>
                </c:pt>
              </c:numCache>
            </c:numRef>
          </c:val>
        </c:ser>
        <c:marker val="1"/>
        <c:axId val="79033088"/>
        <c:axId val="79034624"/>
      </c:lineChart>
      <c:dateAx>
        <c:axId val="79033088"/>
        <c:scaling>
          <c:orientation val="minMax"/>
        </c:scaling>
        <c:axPos val="b"/>
        <c:numFmt formatCode="mmm\-yy" sourceLinked="0"/>
        <c:tickLblPos val="nextTo"/>
        <c:spPr>
          <a:ln w="3175">
            <a:solidFill>
              <a:srgbClr val="000000"/>
            </a:solidFill>
            <a:prstDash val="solid"/>
          </a:ln>
        </c:spPr>
        <c:txPr>
          <a:bodyPr rot="-1800000" vert="horz"/>
          <a:lstStyle/>
          <a:p>
            <a:pPr>
              <a:defRPr lang="en-GB" sz="1400" b="1" i="0" u="none" strike="noStrike" baseline="0">
                <a:solidFill>
                  <a:srgbClr val="000000"/>
                </a:solidFill>
                <a:latin typeface="Arial"/>
                <a:ea typeface="Arial"/>
                <a:cs typeface="Arial"/>
              </a:defRPr>
            </a:pPr>
            <a:endParaRPr lang="en-US"/>
          </a:p>
        </c:txPr>
        <c:crossAx val="79034624"/>
        <c:crosses val="autoZero"/>
        <c:auto val="1"/>
        <c:lblOffset val="100"/>
        <c:baseTimeUnit val="months"/>
        <c:majorUnit val="5"/>
        <c:majorTimeUnit val="months"/>
        <c:minorUnit val="3"/>
        <c:minorTimeUnit val="months"/>
      </c:dateAx>
      <c:valAx>
        <c:axId val="79034624"/>
        <c:scaling>
          <c:orientation val="minMax"/>
          <c:min val="9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GB" sz="1400" b="1" i="0" u="none" strike="noStrike" baseline="0">
                <a:solidFill>
                  <a:srgbClr val="000000"/>
                </a:solidFill>
                <a:latin typeface="Arial"/>
                <a:ea typeface="Arial"/>
                <a:cs typeface="Arial"/>
              </a:defRPr>
            </a:pPr>
            <a:endParaRPr lang="en-US"/>
          </a:p>
        </c:txPr>
        <c:crossAx val="79033088"/>
        <c:crosses val="autoZero"/>
        <c:crossBetween val="between"/>
        <c:majorUnit val="10"/>
      </c:valAx>
      <c:spPr>
        <a:noFill/>
        <a:ln w="12700">
          <a:solidFill>
            <a:srgbClr val="808080"/>
          </a:solidFill>
          <a:prstDash val="solid"/>
        </a:ln>
      </c:spPr>
    </c:plotArea>
    <c:plotVisOnly val="1"/>
    <c:dispBlanksAs val="gap"/>
  </c:chart>
  <c:spPr>
    <a:noFill/>
    <a:ln w="9525">
      <a:noFill/>
    </a:ln>
  </c:spPr>
  <c:txPr>
    <a:bodyPr/>
    <a:lstStyle/>
    <a:p>
      <a:pPr>
        <a:defRPr sz="1000" b="0" i="0" u="none" strike="noStrike" baseline="0">
          <a:solidFill>
            <a:srgbClr val="000000"/>
          </a:solidFill>
          <a:latin typeface="Arial"/>
          <a:ea typeface="Arial"/>
          <a:cs typeface="Arial"/>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ZA"/>
  <c:chart>
    <c:title>
      <c:tx>
        <c:rich>
          <a:bodyPr/>
          <a:lstStyle/>
          <a:p>
            <a:pPr algn="ctr">
              <a:defRPr lang="en-GB" sz="1600" b="1" i="0" u="none" strike="noStrike" baseline="0">
                <a:solidFill>
                  <a:srgbClr val="000000"/>
                </a:solidFill>
                <a:latin typeface="Arial"/>
                <a:ea typeface="Arial"/>
                <a:cs typeface="Arial"/>
              </a:defRPr>
            </a:pPr>
            <a:r>
              <a:rPr lang="en-ZA" sz="1600"/>
              <a:t>Transport and Communication Index</a:t>
            </a:r>
          </a:p>
        </c:rich>
      </c:tx>
      <c:layout>
        <c:manualLayout>
          <c:xMode val="edge"/>
          <c:yMode val="edge"/>
          <c:x val="0.10427350427350435"/>
          <c:y val="5.0594115296027559E-2"/>
        </c:manualLayout>
      </c:layout>
      <c:spPr>
        <a:noFill/>
        <a:ln w="25400">
          <a:noFill/>
        </a:ln>
      </c:spPr>
    </c:title>
    <c:plotArea>
      <c:layout>
        <c:manualLayout>
          <c:layoutTarget val="inner"/>
          <c:xMode val="edge"/>
          <c:yMode val="edge"/>
          <c:x val="6.5480959931203134E-2"/>
          <c:y val="3.9639593234974881E-2"/>
          <c:w val="0.84462841632852237"/>
          <c:h val="0.84245868726071405"/>
        </c:manualLayout>
      </c:layout>
      <c:lineChart>
        <c:grouping val="standard"/>
        <c:ser>
          <c:idx val="0"/>
          <c:order val="0"/>
          <c:tx>
            <c:strRef>
              <c:f>'Final Indices (SA)'!$G$2</c:f>
              <c:strCache>
                <c:ptCount val="1"/>
                <c:pt idx="0">
                  <c:v>Transport Index</c:v>
                </c:pt>
              </c:strCache>
            </c:strRef>
          </c:tx>
          <c:spPr>
            <a:ln w="60325">
              <a:solidFill>
                <a:srgbClr val="000080"/>
              </a:solidFill>
              <a:prstDash val="solid"/>
            </a:ln>
          </c:spPr>
          <c:marker>
            <c:symbol val="none"/>
          </c:marker>
          <c:cat>
            <c:numRef>
              <c:f>'Final Indices (SA)'!$A$93:$A$153</c:f>
              <c:numCache>
                <c:formatCode>mmm\-yy</c:formatCode>
                <c:ptCount val="61"/>
                <c:pt idx="0">
                  <c:v>39965</c:v>
                </c:pt>
                <c:pt idx="1">
                  <c:v>39995</c:v>
                </c:pt>
                <c:pt idx="2">
                  <c:v>40026</c:v>
                </c:pt>
                <c:pt idx="3">
                  <c:v>40057</c:v>
                </c:pt>
                <c:pt idx="4">
                  <c:v>40087</c:v>
                </c:pt>
                <c:pt idx="5">
                  <c:v>40118</c:v>
                </c:pt>
                <c:pt idx="6">
                  <c:v>40148</c:v>
                </c:pt>
                <c:pt idx="7">
                  <c:v>40179</c:v>
                </c:pt>
                <c:pt idx="8">
                  <c:v>40210</c:v>
                </c:pt>
                <c:pt idx="9">
                  <c:v>40238</c:v>
                </c:pt>
                <c:pt idx="10">
                  <c:v>40269</c:v>
                </c:pt>
                <c:pt idx="11">
                  <c:v>40299</c:v>
                </c:pt>
                <c:pt idx="12">
                  <c:v>40330</c:v>
                </c:pt>
                <c:pt idx="13">
                  <c:v>40360</c:v>
                </c:pt>
                <c:pt idx="14">
                  <c:v>40391</c:v>
                </c:pt>
                <c:pt idx="15">
                  <c:v>40422</c:v>
                </c:pt>
                <c:pt idx="16">
                  <c:v>40452</c:v>
                </c:pt>
                <c:pt idx="17">
                  <c:v>40483</c:v>
                </c:pt>
                <c:pt idx="18">
                  <c:v>40513</c:v>
                </c:pt>
                <c:pt idx="19">
                  <c:v>40544</c:v>
                </c:pt>
                <c:pt idx="20">
                  <c:v>40575</c:v>
                </c:pt>
                <c:pt idx="21">
                  <c:v>40603</c:v>
                </c:pt>
                <c:pt idx="22">
                  <c:v>40634</c:v>
                </c:pt>
                <c:pt idx="23">
                  <c:v>40664</c:v>
                </c:pt>
                <c:pt idx="24">
                  <c:v>40695</c:v>
                </c:pt>
                <c:pt idx="25">
                  <c:v>40725</c:v>
                </c:pt>
                <c:pt idx="26">
                  <c:v>40756</c:v>
                </c:pt>
                <c:pt idx="27">
                  <c:v>40787</c:v>
                </c:pt>
                <c:pt idx="28">
                  <c:v>40817</c:v>
                </c:pt>
                <c:pt idx="29">
                  <c:v>40848</c:v>
                </c:pt>
                <c:pt idx="30">
                  <c:v>40878</c:v>
                </c:pt>
                <c:pt idx="31">
                  <c:v>40909</c:v>
                </c:pt>
                <c:pt idx="32">
                  <c:v>40940</c:v>
                </c:pt>
                <c:pt idx="33">
                  <c:v>40969</c:v>
                </c:pt>
                <c:pt idx="34">
                  <c:v>41000</c:v>
                </c:pt>
                <c:pt idx="35">
                  <c:v>41030</c:v>
                </c:pt>
                <c:pt idx="36">
                  <c:v>41061</c:v>
                </c:pt>
                <c:pt idx="37">
                  <c:v>41091</c:v>
                </c:pt>
                <c:pt idx="38">
                  <c:v>41122</c:v>
                </c:pt>
                <c:pt idx="39">
                  <c:v>41153</c:v>
                </c:pt>
                <c:pt idx="40">
                  <c:v>41183</c:v>
                </c:pt>
                <c:pt idx="41">
                  <c:v>41214</c:v>
                </c:pt>
                <c:pt idx="42">
                  <c:v>41244</c:v>
                </c:pt>
                <c:pt idx="43">
                  <c:v>41275</c:v>
                </c:pt>
                <c:pt idx="44">
                  <c:v>41306</c:v>
                </c:pt>
                <c:pt idx="45">
                  <c:v>41334</c:v>
                </c:pt>
                <c:pt idx="46">
                  <c:v>41365</c:v>
                </c:pt>
                <c:pt idx="47">
                  <c:v>41395</c:v>
                </c:pt>
                <c:pt idx="48">
                  <c:v>41426</c:v>
                </c:pt>
                <c:pt idx="49">
                  <c:v>41456</c:v>
                </c:pt>
                <c:pt idx="50">
                  <c:v>41487</c:v>
                </c:pt>
                <c:pt idx="51">
                  <c:v>41518</c:v>
                </c:pt>
                <c:pt idx="52">
                  <c:v>41548</c:v>
                </c:pt>
                <c:pt idx="53">
                  <c:v>41579</c:v>
                </c:pt>
                <c:pt idx="54">
                  <c:v>41609</c:v>
                </c:pt>
                <c:pt idx="55">
                  <c:v>41640</c:v>
                </c:pt>
                <c:pt idx="56">
                  <c:v>41671</c:v>
                </c:pt>
                <c:pt idx="57">
                  <c:v>41699</c:v>
                </c:pt>
                <c:pt idx="58">
                  <c:v>41730</c:v>
                </c:pt>
                <c:pt idx="59">
                  <c:v>41760</c:v>
                </c:pt>
                <c:pt idx="60">
                  <c:v>41791</c:v>
                </c:pt>
              </c:numCache>
            </c:numRef>
          </c:cat>
          <c:val>
            <c:numRef>
              <c:f>'Final Indices (SA)'!$G$93:$G$153</c:f>
              <c:numCache>
                <c:formatCode>0.0</c:formatCode>
                <c:ptCount val="61"/>
                <c:pt idx="0">
                  <c:v>93.172403602856207</c:v>
                </c:pt>
                <c:pt idx="1">
                  <c:v>92.640436303489551</c:v>
                </c:pt>
                <c:pt idx="2">
                  <c:v>92.468076733635215</c:v>
                </c:pt>
                <c:pt idx="3">
                  <c:v>92.254357062480537</c:v>
                </c:pt>
                <c:pt idx="4">
                  <c:v>91.686246548218747</c:v>
                </c:pt>
                <c:pt idx="5">
                  <c:v>92.489919716202891</c:v>
                </c:pt>
                <c:pt idx="6">
                  <c:v>92.897838235731115</c:v>
                </c:pt>
                <c:pt idx="7">
                  <c:v>97.244075258711504</c:v>
                </c:pt>
                <c:pt idx="8">
                  <c:v>97.014985045001026</c:v>
                </c:pt>
                <c:pt idx="9">
                  <c:v>98.358870992069782</c:v>
                </c:pt>
                <c:pt idx="10">
                  <c:v>98.216092301145565</c:v>
                </c:pt>
                <c:pt idx="11">
                  <c:v>98.505653168228122</c:v>
                </c:pt>
                <c:pt idx="12">
                  <c:v>98.226971117090415</c:v>
                </c:pt>
                <c:pt idx="13">
                  <c:v>99.004716956956173</c:v>
                </c:pt>
                <c:pt idx="14">
                  <c:v>99.600788687309546</c:v>
                </c:pt>
                <c:pt idx="15">
                  <c:v>100.51336057996002</c:v>
                </c:pt>
                <c:pt idx="16">
                  <c:v>101.21199863332994</c:v>
                </c:pt>
                <c:pt idx="17">
                  <c:v>102.52565720329962</c:v>
                </c:pt>
                <c:pt idx="18">
                  <c:v>103.21699665096386</c:v>
                </c:pt>
                <c:pt idx="19">
                  <c:v>107.43883692723863</c:v>
                </c:pt>
                <c:pt idx="20">
                  <c:v>106.47578595798677</c:v>
                </c:pt>
                <c:pt idx="21">
                  <c:v>106.959477669028</c:v>
                </c:pt>
                <c:pt idx="22">
                  <c:v>106.98119142267366</c:v>
                </c:pt>
                <c:pt idx="23">
                  <c:v>105.75538112924337</c:v>
                </c:pt>
                <c:pt idx="24">
                  <c:v>104.77756093310272</c:v>
                </c:pt>
                <c:pt idx="25">
                  <c:v>103.76134571121599</c:v>
                </c:pt>
                <c:pt idx="26">
                  <c:v>104.72257281004777</c:v>
                </c:pt>
                <c:pt idx="27">
                  <c:v>106.05464534913163</c:v>
                </c:pt>
                <c:pt idx="28">
                  <c:v>107.39135890252096</c:v>
                </c:pt>
                <c:pt idx="29">
                  <c:v>109.16960232562465</c:v>
                </c:pt>
                <c:pt idx="30">
                  <c:v>110.26687211312563</c:v>
                </c:pt>
                <c:pt idx="31">
                  <c:v>114.33373183677875</c:v>
                </c:pt>
                <c:pt idx="32">
                  <c:v>112.99193777266318</c:v>
                </c:pt>
                <c:pt idx="33">
                  <c:v>112.36759774512481</c:v>
                </c:pt>
                <c:pt idx="34">
                  <c:v>111.78247288048055</c:v>
                </c:pt>
                <c:pt idx="35">
                  <c:v>111.33591730031957</c:v>
                </c:pt>
                <c:pt idx="36">
                  <c:v>111.3237641017984</c:v>
                </c:pt>
                <c:pt idx="37">
                  <c:v>110.95253622937639</c:v>
                </c:pt>
                <c:pt idx="38">
                  <c:v>110.28163015224496</c:v>
                </c:pt>
                <c:pt idx="39">
                  <c:v>110.25062318741215</c:v>
                </c:pt>
                <c:pt idx="40">
                  <c:v>109.41099012018681</c:v>
                </c:pt>
                <c:pt idx="41">
                  <c:v>109.26046791500822</c:v>
                </c:pt>
                <c:pt idx="42">
                  <c:v>108.22935603197512</c:v>
                </c:pt>
                <c:pt idx="43">
                  <c:v>113.46743534105522</c:v>
                </c:pt>
                <c:pt idx="44">
                  <c:v>114.65392018003131</c:v>
                </c:pt>
                <c:pt idx="45">
                  <c:v>117.47420093178066</c:v>
                </c:pt>
                <c:pt idx="46">
                  <c:v>117.648253543685</c:v>
                </c:pt>
                <c:pt idx="47">
                  <c:v>116.87212057059953</c:v>
                </c:pt>
                <c:pt idx="48">
                  <c:v>115.73233991098351</c:v>
                </c:pt>
                <c:pt idx="49">
                  <c:v>116.0125981490514</c:v>
                </c:pt>
                <c:pt idx="50">
                  <c:v>116.83930163024702</c:v>
                </c:pt>
                <c:pt idx="51">
                  <c:v>118.79272887829669</c:v>
                </c:pt>
                <c:pt idx="52">
                  <c:v>118.95810758534053</c:v>
                </c:pt>
                <c:pt idx="53">
                  <c:v>119.14598079724861</c:v>
                </c:pt>
                <c:pt idx="54">
                  <c:v>118.2488479792207</c:v>
                </c:pt>
                <c:pt idx="55">
                  <c:v>123.25803257413727</c:v>
                </c:pt>
                <c:pt idx="56">
                  <c:v>123.2779944006886</c:v>
                </c:pt>
                <c:pt idx="57">
                  <c:v>125.36674162310476</c:v>
                </c:pt>
                <c:pt idx="58">
                  <c:v>125.21168288921122</c:v>
                </c:pt>
                <c:pt idx="59">
                  <c:v>126.46360399676649</c:v>
                </c:pt>
                <c:pt idx="60">
                  <c:v>127.86951522520472</c:v>
                </c:pt>
              </c:numCache>
            </c:numRef>
          </c:val>
        </c:ser>
        <c:marker val="1"/>
        <c:axId val="87037824"/>
        <c:axId val="87039360"/>
      </c:lineChart>
      <c:dateAx>
        <c:axId val="87037824"/>
        <c:scaling>
          <c:orientation val="minMax"/>
        </c:scaling>
        <c:axPos val="b"/>
        <c:numFmt formatCode="mmm\-yy" sourceLinked="0"/>
        <c:tickLblPos val="nextTo"/>
        <c:spPr>
          <a:ln w="3175">
            <a:solidFill>
              <a:srgbClr val="000000"/>
            </a:solidFill>
            <a:prstDash val="solid"/>
          </a:ln>
        </c:spPr>
        <c:txPr>
          <a:bodyPr rot="-1800000" vert="horz"/>
          <a:lstStyle/>
          <a:p>
            <a:pPr>
              <a:defRPr lang="en-GB" sz="1400" b="1" i="0" u="none" strike="noStrike" baseline="0">
                <a:solidFill>
                  <a:srgbClr val="000000"/>
                </a:solidFill>
                <a:latin typeface="Arial"/>
                <a:ea typeface="Arial"/>
                <a:cs typeface="Arial"/>
              </a:defRPr>
            </a:pPr>
            <a:endParaRPr lang="en-US"/>
          </a:p>
        </c:txPr>
        <c:crossAx val="87039360"/>
        <c:crosses val="autoZero"/>
        <c:auto val="1"/>
        <c:lblOffset val="100"/>
        <c:baseTimeUnit val="months"/>
        <c:majorUnit val="5"/>
        <c:majorTimeUnit val="months"/>
        <c:minorUnit val="3"/>
        <c:minorTimeUnit val="months"/>
      </c:dateAx>
      <c:valAx>
        <c:axId val="87039360"/>
        <c:scaling>
          <c:orientation val="minMax"/>
          <c:min val="9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GB" sz="1400" b="1" i="0" u="none" strike="noStrike" baseline="0">
                <a:solidFill>
                  <a:srgbClr val="000000"/>
                </a:solidFill>
                <a:latin typeface="Arial"/>
                <a:ea typeface="Arial"/>
                <a:cs typeface="Arial"/>
              </a:defRPr>
            </a:pPr>
            <a:endParaRPr lang="en-US"/>
          </a:p>
        </c:txPr>
        <c:crossAx val="87037824"/>
        <c:crosses val="autoZero"/>
        <c:crossBetween val="between"/>
      </c:valAx>
      <c:spPr>
        <a:noFill/>
        <a:ln w="12700">
          <a:solidFill>
            <a:srgbClr val="808080"/>
          </a:solidFill>
          <a:prstDash val="solid"/>
        </a:ln>
      </c:spPr>
    </c:plotArea>
    <c:plotVisOnly val="1"/>
    <c:dispBlanksAs val="gap"/>
  </c:chart>
  <c:spPr>
    <a:noFill/>
    <a:ln w="9525">
      <a:noFill/>
    </a:ln>
  </c:spPr>
  <c:txPr>
    <a:bodyPr/>
    <a:lstStyle/>
    <a:p>
      <a:pPr>
        <a:defRPr sz="1000" b="0" i="0" u="none" strike="noStrike" baseline="0">
          <a:solidFill>
            <a:srgbClr val="000000"/>
          </a:solidFill>
          <a:latin typeface="Arial"/>
          <a:ea typeface="Arial"/>
          <a:cs typeface="Arial"/>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2430733-FEC5-4460-BB24-72ED12478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1346</Words>
  <Characters>7673</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cp:lastPrinted>2014-05-12T08:02:00Z</cp:lastPrinted>
  <dcterms:created xsi:type="dcterms:W3CDTF">2014-08-07T10:42:00Z</dcterms:created>
  <dcterms:modified xsi:type="dcterms:W3CDTF">2014-08-07T10:42:00Z</dcterms:modified>
</cp:coreProperties>
</file>