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454BB1" w:rsidRPr="00454BB1" w:rsidRDefault="00454BB1" w:rsidP="003B000F">
      <w:pPr>
        <w:jc w:val="center"/>
        <w:rPr>
          <w:rFonts w:ascii="Arial" w:hAnsi="Arial"/>
          <w:b/>
          <w:sz w:val="28"/>
          <w:szCs w:val="28"/>
        </w:rPr>
      </w:pPr>
      <w:r w:rsidRPr="00454BB1">
        <w:rPr>
          <w:rFonts w:ascii="Arial" w:hAnsi="Arial"/>
          <w:b/>
          <w:sz w:val="28"/>
          <w:szCs w:val="28"/>
        </w:rPr>
        <w:t>KwaZulu-Nat</w:t>
      </w:r>
      <w:bookmarkStart w:id="0" w:name="_GoBack"/>
      <w:bookmarkEnd w:id="0"/>
      <w:r w:rsidRPr="00454BB1">
        <w:rPr>
          <w:rFonts w:ascii="Arial" w:hAnsi="Arial"/>
          <w:b/>
          <w:sz w:val="28"/>
          <w:szCs w:val="28"/>
        </w:rPr>
        <w:t xml:space="preserve">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3B14B1" w:rsidP="00454BB1">
      <w:pPr>
        <w:jc w:val="center"/>
        <w:rPr>
          <w:rFonts w:ascii="Arial" w:hAnsi="Arial"/>
          <w:b/>
        </w:rPr>
      </w:pPr>
      <w:r>
        <w:rPr>
          <w:rFonts w:ascii="Arial" w:hAnsi="Arial"/>
          <w:b/>
        </w:rPr>
        <w:t>November</w:t>
      </w:r>
      <w:r w:rsidR="00DF7907">
        <w:rPr>
          <w:rFonts w:ascii="Arial" w:hAnsi="Arial"/>
          <w:b/>
        </w:rPr>
        <w:t xml:space="preserve"> </w:t>
      </w:r>
      <w:r w:rsidR="007F7630">
        <w:rPr>
          <w:rFonts w:ascii="Arial" w:hAnsi="Arial"/>
          <w:b/>
        </w:rPr>
        <w:t>201</w:t>
      </w:r>
      <w:r w:rsidR="00B80087">
        <w:rPr>
          <w:rFonts w:ascii="Arial" w:hAnsi="Arial"/>
          <w:b/>
        </w:rPr>
        <w:t>4</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8"/>
          <w:footerReference w:type="default" r:id="rId9"/>
          <w:pgSz w:w="12240" w:h="15840"/>
          <w:pgMar w:top="3649" w:right="474" w:bottom="1440" w:left="426" w:header="2127" w:footer="2836" w:gutter="0"/>
          <w:cols w:space="708"/>
          <w:docGrid w:linePitch="360"/>
        </w:sectPr>
      </w:pPr>
      <w:r>
        <w:rPr>
          <w:rFonts w:ascii="Arial" w:hAnsi="Arial"/>
        </w:rPr>
        <w:br w:type="page"/>
      </w:r>
    </w:p>
    <w:p w:rsidR="00E14D45" w:rsidRPr="00D17DD5" w:rsidRDefault="00E14D45" w:rsidP="00D17DD5">
      <w:pPr>
        <w:rPr>
          <w:rFonts w:ascii="Arial" w:hAnsi="Arial"/>
          <w:b/>
          <w:sz w:val="32"/>
        </w:rPr>
      </w:pPr>
    </w:p>
    <w:p w:rsidR="005F50AD" w:rsidRDefault="003B14B1" w:rsidP="00E45A38">
      <w:pPr>
        <w:rPr>
          <w:rFonts w:ascii="Arial" w:hAnsi="Arial"/>
          <w:b/>
          <w:sz w:val="32"/>
          <w:lang w:val="en-US"/>
        </w:rPr>
      </w:pPr>
      <w:r w:rsidRPr="003B14B1">
        <w:rPr>
          <w:rFonts w:ascii="Arial" w:hAnsi="Arial"/>
          <w:b/>
          <w:sz w:val="32"/>
        </w:rPr>
        <w:t>Fixed investment in KwaZulu-Natal shrugs of strikes and power cuts</w:t>
      </w:r>
    </w:p>
    <w:p w:rsidR="00E45A38" w:rsidRDefault="003B14B1" w:rsidP="00E45A38">
      <w:pPr>
        <w:rPr>
          <w:rFonts w:ascii="Arial" w:hAnsi="Arial"/>
          <w:b/>
          <w:sz w:val="32"/>
        </w:rPr>
      </w:pPr>
      <w:r w:rsidRPr="003B14B1">
        <w:rPr>
          <w:noProof/>
          <w:lang w:val="en-ZA" w:eastAsia="en-ZA"/>
        </w:rPr>
        <w:drawing>
          <wp:inline distT="0" distB="0" distL="0" distR="0" wp14:anchorId="494EE807" wp14:editId="73282ED4">
            <wp:extent cx="6480810" cy="41370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0810" cy="4137056"/>
                    </a:xfrm>
                    <a:prstGeom prst="rect">
                      <a:avLst/>
                    </a:prstGeom>
                    <a:noFill/>
                    <a:ln>
                      <a:noFill/>
                    </a:ln>
                  </pic:spPr>
                </pic:pic>
              </a:graphicData>
            </a:graphic>
          </wp:inline>
        </w:drawing>
      </w:r>
      <w:r w:rsidR="003F0303" w:rsidRPr="003F0303">
        <w:rPr>
          <w:rFonts w:ascii="Arial" w:hAnsi="Arial"/>
          <w:b/>
          <w:sz w:val="32"/>
          <w:lang w:val="en-US"/>
        </w:rPr>
        <w:br/>
      </w:r>
    </w:p>
    <w:p w:rsidR="003453B9" w:rsidRPr="003E0B54" w:rsidRDefault="003453B9" w:rsidP="00E45A38">
      <w:pPr>
        <w:rPr>
          <w:rFonts w:ascii="Arial" w:hAnsi="Arial"/>
          <w:b/>
          <w:sz w:val="32"/>
        </w:rPr>
      </w:pPr>
    </w:p>
    <w:p w:rsidR="003B14B1" w:rsidRPr="003B14B1" w:rsidRDefault="003B14B1" w:rsidP="003B14B1">
      <w:pPr>
        <w:rPr>
          <w:rFonts w:ascii="Arial" w:hAnsi="Arial"/>
          <w:szCs w:val="20"/>
        </w:rPr>
      </w:pPr>
      <w:r w:rsidRPr="003B14B1">
        <w:rPr>
          <w:rFonts w:ascii="Arial" w:hAnsi="Arial"/>
          <w:szCs w:val="20"/>
        </w:rPr>
        <w:t xml:space="preserve">Fixed investment in KwaZulu-Natal recovered from the undermining effects of strikes on confidence and shrugged off the warnings of looming power cuts. </w:t>
      </w:r>
      <w:proofErr w:type="gramStart"/>
      <w:r w:rsidRPr="003B14B1">
        <w:rPr>
          <w:rFonts w:ascii="Arial" w:hAnsi="Arial"/>
          <w:szCs w:val="20"/>
        </w:rPr>
        <w:t>The total investment index of the latest KwaZulu-Natal investment monitor increased by 2% year-on-year, the best performance in eight months, which included several months of declines in investment.</w:t>
      </w:r>
      <w:proofErr w:type="gramEnd"/>
      <w:r w:rsidRPr="003B14B1">
        <w:rPr>
          <w:rFonts w:ascii="Arial" w:hAnsi="Arial"/>
          <w:szCs w:val="20"/>
        </w:rPr>
        <w:t xml:space="preserve"> Quarter-on-quarter, the index also grew by 2%.</w:t>
      </w:r>
    </w:p>
    <w:p w:rsidR="003B14B1" w:rsidRPr="003B14B1" w:rsidRDefault="003B14B1" w:rsidP="003B14B1">
      <w:pPr>
        <w:rPr>
          <w:rFonts w:ascii="Arial" w:hAnsi="Arial"/>
          <w:szCs w:val="20"/>
        </w:rPr>
      </w:pPr>
      <w:r w:rsidRPr="003B14B1">
        <w:rPr>
          <w:rFonts w:ascii="Arial" w:hAnsi="Arial"/>
          <w:szCs w:val="20"/>
        </w:rPr>
        <w:t xml:space="preserve"> </w:t>
      </w:r>
    </w:p>
    <w:p w:rsidR="003B14B1" w:rsidRPr="003B14B1" w:rsidRDefault="003B14B1" w:rsidP="003B14B1">
      <w:pPr>
        <w:rPr>
          <w:rFonts w:ascii="Arial" w:hAnsi="Arial"/>
          <w:b/>
          <w:szCs w:val="20"/>
        </w:rPr>
      </w:pPr>
      <w:r w:rsidRPr="003B14B1">
        <w:rPr>
          <w:rFonts w:ascii="Arial" w:hAnsi="Arial"/>
          <w:b/>
          <w:szCs w:val="20"/>
        </w:rPr>
        <w:t>Transport equipment shows double-digit growth</w:t>
      </w:r>
    </w:p>
    <w:p w:rsidR="003B14B1" w:rsidRPr="003B14B1" w:rsidRDefault="003B14B1" w:rsidP="003B14B1">
      <w:pPr>
        <w:rPr>
          <w:rFonts w:ascii="Arial" w:hAnsi="Arial"/>
          <w:szCs w:val="20"/>
        </w:rPr>
      </w:pPr>
      <w:r w:rsidRPr="003B14B1">
        <w:rPr>
          <w:rFonts w:ascii="Arial" w:hAnsi="Arial"/>
          <w:szCs w:val="20"/>
        </w:rPr>
        <w:t xml:space="preserve">Transport equipment was the big driver behind investment growth in KwaZulu-Natal in November. The transport index was up 15.8% year-on-year, the most in almost three years, and expanded by 1.6% on the previous quarter. The most likely driver of this growth is the new investment being made by businesses establishing themselves in the </w:t>
      </w:r>
      <w:proofErr w:type="spellStart"/>
      <w:r w:rsidRPr="003B14B1">
        <w:rPr>
          <w:rFonts w:ascii="Arial" w:hAnsi="Arial"/>
          <w:szCs w:val="20"/>
        </w:rPr>
        <w:t>Dube</w:t>
      </w:r>
      <w:proofErr w:type="spellEnd"/>
      <w:r w:rsidRPr="003B14B1">
        <w:rPr>
          <w:rFonts w:ascii="Arial" w:hAnsi="Arial"/>
          <w:szCs w:val="20"/>
        </w:rPr>
        <w:t xml:space="preserve"> </w:t>
      </w:r>
      <w:proofErr w:type="spellStart"/>
      <w:r w:rsidRPr="003B14B1">
        <w:rPr>
          <w:rFonts w:ascii="Arial" w:hAnsi="Arial"/>
          <w:szCs w:val="20"/>
        </w:rPr>
        <w:t>tradeport</w:t>
      </w:r>
      <w:proofErr w:type="spellEnd"/>
      <w:r w:rsidRPr="003B14B1">
        <w:rPr>
          <w:rFonts w:ascii="Arial" w:hAnsi="Arial"/>
          <w:szCs w:val="20"/>
        </w:rPr>
        <w:t xml:space="preserve"> industrial development zone next to the King </w:t>
      </w:r>
      <w:proofErr w:type="spellStart"/>
      <w:r w:rsidRPr="003B14B1">
        <w:rPr>
          <w:rFonts w:ascii="Arial" w:hAnsi="Arial"/>
          <w:szCs w:val="20"/>
        </w:rPr>
        <w:t>Shaka</w:t>
      </w:r>
      <w:proofErr w:type="spellEnd"/>
      <w:r w:rsidRPr="003B14B1">
        <w:rPr>
          <w:rFonts w:ascii="Arial" w:hAnsi="Arial"/>
          <w:szCs w:val="20"/>
        </w:rPr>
        <w:t xml:space="preserve"> International Airport. The </w:t>
      </w:r>
      <w:r w:rsidR="002F45A6" w:rsidRPr="003B14B1">
        <w:rPr>
          <w:rFonts w:ascii="Arial" w:hAnsi="Arial"/>
          <w:szCs w:val="20"/>
        </w:rPr>
        <w:t>trade port</w:t>
      </w:r>
      <w:r w:rsidRPr="003B14B1">
        <w:rPr>
          <w:rFonts w:ascii="Arial" w:hAnsi="Arial"/>
          <w:szCs w:val="20"/>
        </w:rPr>
        <w:t xml:space="preserve"> was </w:t>
      </w:r>
      <w:r w:rsidRPr="003B14B1">
        <w:rPr>
          <w:rFonts w:ascii="Arial" w:hAnsi="Arial"/>
          <w:szCs w:val="20"/>
        </w:rPr>
        <w:lastRenderedPageBreak/>
        <w:t xml:space="preserve">officially opened by President Jacob </w:t>
      </w:r>
      <w:proofErr w:type="spellStart"/>
      <w:r w:rsidRPr="003B14B1">
        <w:rPr>
          <w:rFonts w:ascii="Arial" w:hAnsi="Arial"/>
          <w:szCs w:val="20"/>
        </w:rPr>
        <w:t>Zuma</w:t>
      </w:r>
      <w:proofErr w:type="spellEnd"/>
      <w:r w:rsidRPr="003B14B1">
        <w:rPr>
          <w:rFonts w:ascii="Arial" w:hAnsi="Arial"/>
          <w:szCs w:val="20"/>
        </w:rPr>
        <w:t xml:space="preserve"> early in October and has already attracted over R900 billion rand in private-sector investment. The aim is for the </w:t>
      </w:r>
      <w:r w:rsidR="002F45A6" w:rsidRPr="003B14B1">
        <w:rPr>
          <w:rFonts w:ascii="Arial" w:hAnsi="Arial"/>
          <w:szCs w:val="20"/>
        </w:rPr>
        <w:t>trade port</w:t>
      </w:r>
      <w:r w:rsidRPr="003B14B1">
        <w:rPr>
          <w:rFonts w:ascii="Arial" w:hAnsi="Arial"/>
          <w:szCs w:val="20"/>
        </w:rPr>
        <w:t xml:space="preserve"> to contribute R5.6 billion to the country’s gross domestic product by 2060. </w:t>
      </w:r>
    </w:p>
    <w:p w:rsidR="003B14B1" w:rsidRPr="003B14B1" w:rsidRDefault="003B14B1" w:rsidP="003B14B1">
      <w:pPr>
        <w:rPr>
          <w:rFonts w:ascii="Arial" w:hAnsi="Arial"/>
          <w:szCs w:val="20"/>
        </w:rPr>
      </w:pPr>
      <w:r w:rsidRPr="003B14B1">
        <w:rPr>
          <w:rFonts w:ascii="Arial" w:hAnsi="Arial"/>
          <w:szCs w:val="20"/>
        </w:rPr>
        <w:t xml:space="preserve">The development of the </w:t>
      </w:r>
      <w:r w:rsidR="002F45A6" w:rsidRPr="003B14B1">
        <w:rPr>
          <w:rFonts w:ascii="Arial" w:hAnsi="Arial"/>
          <w:szCs w:val="20"/>
        </w:rPr>
        <w:t>trade port</w:t>
      </w:r>
      <w:r w:rsidRPr="003B14B1">
        <w:rPr>
          <w:rFonts w:ascii="Arial" w:hAnsi="Arial"/>
          <w:szCs w:val="20"/>
        </w:rPr>
        <w:t xml:space="preserve"> should help to boost most categories of transport equipment and should continue to boost fixed investment and the rest of the KwaZulu-Natal economy all through 2015. Investment in land transport equipment increased by 7.4%, boosted by a 75% surge in bus purchases and light commercial vehicles which grew by 8.1%. This shows that some small businesses are experiencing a better economic climate and investing in new vehicles.  </w:t>
      </w:r>
      <w:proofErr w:type="gramStart"/>
      <w:r w:rsidRPr="003B14B1">
        <w:rPr>
          <w:rFonts w:ascii="Arial" w:hAnsi="Arial"/>
          <w:szCs w:val="20"/>
        </w:rPr>
        <w:t>Purchases of ships and airplanes was</w:t>
      </w:r>
      <w:proofErr w:type="gramEnd"/>
      <w:r w:rsidRPr="003B14B1">
        <w:rPr>
          <w:rFonts w:ascii="Arial" w:hAnsi="Arial"/>
          <w:szCs w:val="20"/>
        </w:rPr>
        <w:t xml:space="preserve"> up by 40.3%, showing that businesses are also making expensive investments.</w:t>
      </w:r>
    </w:p>
    <w:p w:rsidR="003B14B1" w:rsidRPr="003B14B1" w:rsidRDefault="003B14B1" w:rsidP="003B14B1">
      <w:pPr>
        <w:rPr>
          <w:rFonts w:ascii="Arial" w:hAnsi="Arial"/>
          <w:szCs w:val="20"/>
        </w:rPr>
      </w:pPr>
    </w:p>
    <w:p w:rsidR="003B14B1" w:rsidRPr="003B14B1" w:rsidRDefault="003B14B1" w:rsidP="003B14B1">
      <w:pPr>
        <w:rPr>
          <w:rFonts w:ascii="Arial" w:hAnsi="Arial"/>
          <w:b/>
          <w:szCs w:val="20"/>
        </w:rPr>
      </w:pPr>
      <w:r w:rsidRPr="003B14B1">
        <w:rPr>
          <w:rFonts w:ascii="Arial" w:hAnsi="Arial"/>
          <w:b/>
          <w:szCs w:val="20"/>
        </w:rPr>
        <w:t>Machinery investment on a downward slope</w:t>
      </w:r>
    </w:p>
    <w:p w:rsidR="003B14B1" w:rsidRPr="003B14B1" w:rsidRDefault="003B14B1" w:rsidP="003B14B1">
      <w:pPr>
        <w:rPr>
          <w:rFonts w:ascii="Arial" w:hAnsi="Arial"/>
          <w:szCs w:val="20"/>
        </w:rPr>
      </w:pPr>
      <w:r w:rsidRPr="003B14B1">
        <w:rPr>
          <w:rFonts w:ascii="Arial" w:hAnsi="Arial"/>
          <w:szCs w:val="20"/>
        </w:rPr>
        <w:t>Investment in machinery, which contributes 36% to fixed investment in KwaZulu-Natal</w:t>
      </w:r>
      <w:r w:rsidR="002F45A6" w:rsidRPr="003B14B1">
        <w:rPr>
          <w:rFonts w:ascii="Arial" w:hAnsi="Arial"/>
          <w:szCs w:val="20"/>
        </w:rPr>
        <w:t>, was</w:t>
      </w:r>
      <w:r w:rsidRPr="003B14B1">
        <w:rPr>
          <w:rFonts w:ascii="Arial" w:hAnsi="Arial"/>
          <w:szCs w:val="20"/>
        </w:rPr>
        <w:t xml:space="preserve"> one of the main drags on the investment monitor as it declined by 2.4%, the 20th consecutive negative month. Quarter-on-quarter the machinery index was down 0.1%.  The rand weakened considerably during the year and traded at an average of R11.09 against the dollar in November 2014, compared with R10.20 in November 2013. Machinery investment tends to move down as the currency depreciates, making it more expensive to import equipment. As long as the rand is weak, machinery investment will continue to decrease, even if the decrease eventually slows down. While machinery imports declined by 4.5%, local machinery increased by 1%. This may not seem like much, but it shows that local machinery is to some extent replacing the more expensive imported equipment.</w:t>
      </w:r>
    </w:p>
    <w:p w:rsidR="003B14B1" w:rsidRPr="003B14B1" w:rsidRDefault="003B14B1" w:rsidP="003B14B1">
      <w:pPr>
        <w:rPr>
          <w:rFonts w:ascii="Arial" w:hAnsi="Arial"/>
          <w:szCs w:val="20"/>
        </w:rPr>
      </w:pPr>
    </w:p>
    <w:p w:rsidR="003B14B1" w:rsidRPr="003B14B1" w:rsidRDefault="003B14B1" w:rsidP="003B14B1">
      <w:pPr>
        <w:rPr>
          <w:rFonts w:ascii="Arial" w:hAnsi="Arial"/>
          <w:b/>
          <w:szCs w:val="20"/>
        </w:rPr>
      </w:pPr>
      <w:r w:rsidRPr="003B14B1">
        <w:rPr>
          <w:rFonts w:ascii="Arial" w:hAnsi="Arial"/>
          <w:b/>
          <w:szCs w:val="20"/>
        </w:rPr>
        <w:t>Buildings investment follows suit</w:t>
      </w:r>
    </w:p>
    <w:p w:rsidR="003B14B1" w:rsidRPr="003B14B1" w:rsidRDefault="003B14B1" w:rsidP="003B14B1">
      <w:pPr>
        <w:rPr>
          <w:rFonts w:ascii="Arial" w:hAnsi="Arial"/>
          <w:szCs w:val="20"/>
        </w:rPr>
      </w:pPr>
      <w:r w:rsidRPr="003B14B1">
        <w:rPr>
          <w:rFonts w:ascii="Arial" w:hAnsi="Arial"/>
          <w:szCs w:val="20"/>
        </w:rPr>
        <w:t>Investment in buildings in KwaZulu-Natal also weighed on total fixed investment, as it declined by 6% year-on-year due to a sharp drop in the completion of both residential and non-residential buildings in the province. Lumber sales decreased by 0.6%, showing that informal building activities are still on the decline. While buildings investment is very negative over the longer term, the index was up 8.1% quarter-on-quarter, which follows the previous month's 14.3% increase. This was due to a 69% increase in non-residential buildings over the three months and may be reflecting the somewhat better confidence among some smaller businesses, probably brought about by the postponement of interest rate increases by the Reserve Bank.</w:t>
      </w:r>
    </w:p>
    <w:p w:rsidR="003B14B1" w:rsidRPr="003B14B1" w:rsidRDefault="003B14B1" w:rsidP="003B14B1">
      <w:pPr>
        <w:rPr>
          <w:rFonts w:ascii="Arial" w:hAnsi="Arial"/>
          <w:szCs w:val="20"/>
        </w:rPr>
      </w:pPr>
    </w:p>
    <w:p w:rsidR="003B14B1" w:rsidRPr="003B14B1" w:rsidRDefault="003B14B1" w:rsidP="003B14B1">
      <w:pPr>
        <w:rPr>
          <w:rFonts w:ascii="Arial" w:hAnsi="Arial"/>
          <w:b/>
          <w:szCs w:val="20"/>
        </w:rPr>
      </w:pPr>
      <w:r w:rsidRPr="003B14B1">
        <w:rPr>
          <w:rFonts w:ascii="Arial" w:hAnsi="Arial"/>
          <w:b/>
          <w:szCs w:val="20"/>
        </w:rPr>
        <w:t>Civil construction investment looking up</w:t>
      </w:r>
    </w:p>
    <w:p w:rsidR="003B14B1" w:rsidRPr="003B14B1" w:rsidRDefault="003B14B1" w:rsidP="003B14B1">
      <w:pPr>
        <w:rPr>
          <w:rFonts w:ascii="Arial" w:hAnsi="Arial"/>
          <w:szCs w:val="20"/>
        </w:rPr>
      </w:pPr>
      <w:r w:rsidRPr="003B14B1">
        <w:rPr>
          <w:rFonts w:ascii="Arial" w:hAnsi="Arial"/>
          <w:szCs w:val="20"/>
        </w:rPr>
        <w:t xml:space="preserve">While buildings investment continued its long-term decline, investment in civil construction followed a slow and tentative recovery path. The KwaZulu-Natal civil construction index was up 4.2% year-on-year, from 0.9% the previous month, and declined 0.3% on the quarter. </w:t>
      </w:r>
      <w:proofErr w:type="gramStart"/>
      <w:r w:rsidRPr="003B14B1">
        <w:rPr>
          <w:rFonts w:ascii="Arial" w:hAnsi="Arial"/>
          <w:szCs w:val="20"/>
        </w:rPr>
        <w:t>Despite the weak rand, imported civil construction materials increased by 7.4%.</w:t>
      </w:r>
      <w:proofErr w:type="gramEnd"/>
      <w:r w:rsidRPr="003B14B1">
        <w:rPr>
          <w:rFonts w:ascii="Arial" w:hAnsi="Arial"/>
          <w:szCs w:val="20"/>
        </w:rPr>
        <w:t xml:space="preserve"> </w:t>
      </w:r>
      <w:r w:rsidR="002F45A6" w:rsidRPr="003B14B1">
        <w:rPr>
          <w:rFonts w:ascii="Arial" w:hAnsi="Arial"/>
          <w:szCs w:val="20"/>
        </w:rPr>
        <w:t>Road works</w:t>
      </w:r>
      <w:r w:rsidRPr="003B14B1">
        <w:rPr>
          <w:rFonts w:ascii="Arial" w:hAnsi="Arial"/>
          <w:szCs w:val="20"/>
        </w:rPr>
        <w:t>, for which the data was revised, was up by 10.4% on a year ago, showing that the government is spending money on the province's transport infrastructure.</w:t>
      </w:r>
    </w:p>
    <w:p w:rsidR="003B14B1" w:rsidRPr="003B14B1" w:rsidRDefault="003B14B1" w:rsidP="003B14B1">
      <w:pPr>
        <w:rPr>
          <w:rFonts w:ascii="Arial" w:hAnsi="Arial"/>
          <w:szCs w:val="20"/>
        </w:rPr>
      </w:pPr>
    </w:p>
    <w:p w:rsidR="003B14B1" w:rsidRPr="003B14B1" w:rsidRDefault="003B14B1" w:rsidP="003B14B1">
      <w:pPr>
        <w:rPr>
          <w:rFonts w:ascii="Arial" w:hAnsi="Arial"/>
          <w:b/>
          <w:szCs w:val="20"/>
        </w:rPr>
      </w:pPr>
      <w:r w:rsidRPr="003B14B1">
        <w:rPr>
          <w:rFonts w:ascii="Arial" w:hAnsi="Arial"/>
          <w:b/>
          <w:szCs w:val="20"/>
        </w:rPr>
        <w:t>Transfers positive</w:t>
      </w:r>
    </w:p>
    <w:p w:rsidR="003B14B1" w:rsidRPr="003B14B1" w:rsidRDefault="003B14B1" w:rsidP="003B14B1">
      <w:pPr>
        <w:rPr>
          <w:rFonts w:ascii="Arial" w:hAnsi="Arial"/>
          <w:szCs w:val="20"/>
        </w:rPr>
      </w:pPr>
      <w:proofErr w:type="gramStart"/>
      <w:r w:rsidRPr="003B14B1">
        <w:rPr>
          <w:rFonts w:ascii="Arial" w:hAnsi="Arial"/>
          <w:szCs w:val="20"/>
        </w:rPr>
        <w:lastRenderedPageBreak/>
        <w:t>Transfers usually followed the trends of the buildings index, but has</w:t>
      </w:r>
      <w:proofErr w:type="gramEnd"/>
      <w:r w:rsidRPr="003B14B1">
        <w:rPr>
          <w:rFonts w:ascii="Arial" w:hAnsi="Arial"/>
          <w:szCs w:val="20"/>
        </w:rPr>
        <w:t xml:space="preserve"> been breaking from that for the past year. </w:t>
      </w:r>
      <w:proofErr w:type="gramStart"/>
      <w:r w:rsidRPr="003B14B1">
        <w:rPr>
          <w:rFonts w:ascii="Arial" w:hAnsi="Arial"/>
          <w:szCs w:val="20"/>
        </w:rPr>
        <w:t>The transfers index has been positive since January and increased by 8.6% year-on-year and 11.4% quarter-on-quarter.</w:t>
      </w:r>
      <w:proofErr w:type="gramEnd"/>
      <w:r w:rsidRPr="003B14B1">
        <w:rPr>
          <w:rFonts w:ascii="Arial" w:hAnsi="Arial"/>
          <w:szCs w:val="20"/>
        </w:rPr>
        <w:t xml:space="preserve"> While the transfers data was also revised and should not be seen as a complete surge in the numbers, the growth shows that many businesses and individuals prefers purchasing existing properties rather than building new ones.</w:t>
      </w:r>
    </w:p>
    <w:p w:rsidR="003B14B1" w:rsidRPr="003B14B1" w:rsidRDefault="003B14B1" w:rsidP="003B14B1">
      <w:pPr>
        <w:rPr>
          <w:rFonts w:ascii="Arial" w:hAnsi="Arial"/>
          <w:szCs w:val="20"/>
        </w:rPr>
      </w:pPr>
    </w:p>
    <w:p w:rsidR="003B14B1" w:rsidRPr="003B14B1" w:rsidRDefault="003B14B1" w:rsidP="003B14B1">
      <w:pPr>
        <w:rPr>
          <w:rFonts w:ascii="Arial" w:hAnsi="Arial"/>
          <w:b/>
          <w:szCs w:val="20"/>
        </w:rPr>
      </w:pPr>
      <w:r w:rsidRPr="003B14B1">
        <w:rPr>
          <w:rFonts w:ascii="Arial" w:hAnsi="Arial"/>
          <w:b/>
          <w:szCs w:val="20"/>
        </w:rPr>
        <w:t>ICT equipment investment growth slowed momentarily</w:t>
      </w:r>
    </w:p>
    <w:p w:rsidR="003B14B1" w:rsidRPr="003B14B1" w:rsidRDefault="003B14B1" w:rsidP="003B14B1">
      <w:pPr>
        <w:rPr>
          <w:rFonts w:ascii="Arial" w:hAnsi="Arial"/>
          <w:szCs w:val="20"/>
        </w:rPr>
      </w:pPr>
      <w:r w:rsidRPr="003B14B1">
        <w:rPr>
          <w:rFonts w:ascii="Arial" w:hAnsi="Arial"/>
          <w:szCs w:val="20"/>
        </w:rPr>
        <w:t xml:space="preserve">Investment in ICT equipment in KwaZulu-Natal has been a driver of fixed investment for many months and the 5.4% quarter-on-quarter growth looks almost benign compared to some of the double-digit growth numbers the index has recorded over the last year. ICT investment is very dependent on demand and supply, and that demand is often </w:t>
      </w:r>
      <w:r w:rsidR="002F45A6" w:rsidRPr="003B14B1">
        <w:rPr>
          <w:rFonts w:ascii="Arial" w:hAnsi="Arial"/>
          <w:szCs w:val="20"/>
        </w:rPr>
        <w:t>fuelled</w:t>
      </w:r>
      <w:r w:rsidRPr="003B14B1">
        <w:rPr>
          <w:rFonts w:ascii="Arial" w:hAnsi="Arial"/>
          <w:szCs w:val="20"/>
        </w:rPr>
        <w:t xml:space="preserve"> by the introduction of new electronic gadgets, which require upgraded infrastructure. Demand seems to be relatively low at the moment, leading to the slower than usual growth in ICT investment. </w:t>
      </w:r>
    </w:p>
    <w:p w:rsidR="003B14B1" w:rsidRPr="003B14B1" w:rsidRDefault="003B14B1" w:rsidP="003B14B1">
      <w:pPr>
        <w:rPr>
          <w:rFonts w:ascii="Arial" w:hAnsi="Arial"/>
          <w:szCs w:val="20"/>
        </w:rPr>
      </w:pPr>
    </w:p>
    <w:p w:rsidR="003B14B1" w:rsidRPr="003B14B1" w:rsidRDefault="003B14B1" w:rsidP="003B14B1">
      <w:pPr>
        <w:rPr>
          <w:rFonts w:ascii="Arial" w:hAnsi="Arial"/>
          <w:szCs w:val="20"/>
        </w:rPr>
      </w:pPr>
      <w:r w:rsidRPr="003B14B1">
        <w:rPr>
          <w:rFonts w:ascii="Arial" w:hAnsi="Arial"/>
          <w:szCs w:val="20"/>
        </w:rPr>
        <w:t xml:space="preserve">While investors still seem confident enough to spend money, </w:t>
      </w:r>
      <w:r w:rsidR="002F45A6" w:rsidRPr="003B14B1">
        <w:rPr>
          <w:rFonts w:ascii="Arial" w:hAnsi="Arial"/>
          <w:szCs w:val="20"/>
        </w:rPr>
        <w:t>load shedding</w:t>
      </w:r>
      <w:r w:rsidRPr="003B14B1">
        <w:rPr>
          <w:rFonts w:ascii="Arial" w:hAnsi="Arial"/>
          <w:szCs w:val="20"/>
        </w:rPr>
        <w:t xml:space="preserve"> which resumed in January</w:t>
      </w:r>
      <w:r w:rsidR="002F45A6">
        <w:rPr>
          <w:rFonts w:ascii="Arial" w:hAnsi="Arial"/>
          <w:szCs w:val="20"/>
        </w:rPr>
        <w:t xml:space="preserve"> 2015</w:t>
      </w:r>
      <w:r w:rsidRPr="003B14B1">
        <w:rPr>
          <w:rFonts w:ascii="Arial" w:hAnsi="Arial"/>
          <w:szCs w:val="20"/>
        </w:rPr>
        <w:t>, will be a problem in the near future. Even local investors, who are thinking of starting a business, will think twice before committing themselves in such an uncertain environment. The investment monitor looks very positive at the moment, but this could turn around quickly if the electricity crisis continues.</w:t>
      </w:r>
    </w:p>
    <w:p w:rsidR="00DF7907" w:rsidRDefault="00DF7907" w:rsidP="003B14B1">
      <w:pPr>
        <w:rPr>
          <w:rFonts w:ascii="Arial" w:hAnsi="Arial"/>
          <w:szCs w:val="20"/>
        </w:rPr>
      </w:pPr>
    </w:p>
    <w:p w:rsidR="005F50AD" w:rsidRDefault="005F50AD" w:rsidP="005F50AD">
      <w:pPr>
        <w:rPr>
          <w:rFonts w:ascii="Arial" w:hAnsi="Arial"/>
          <w:szCs w:val="20"/>
        </w:rPr>
      </w:pPr>
    </w:p>
    <w:p w:rsidR="005F50AD" w:rsidRPr="00DF7907" w:rsidRDefault="005F50AD" w:rsidP="005F50AD">
      <w:pPr>
        <w:rPr>
          <w:rFonts w:ascii="Arial" w:hAnsi="Arial"/>
          <w:szCs w:val="20"/>
        </w:rPr>
      </w:pPr>
    </w:p>
    <w:p w:rsidR="00454BB1" w:rsidRPr="00235EF0" w:rsidRDefault="007F7630" w:rsidP="00235EF0">
      <w:r w:rsidRPr="007F7630">
        <w:rPr>
          <w:rFonts w:ascii="Arial" w:hAnsi="Arial"/>
          <w:b/>
          <w:bCs/>
        </w:rPr>
        <w:t>Results Table</w:t>
      </w:r>
      <w:r>
        <w:rPr>
          <w:rFonts w:ascii="Arial" w:hAnsi="Arial"/>
          <w:b/>
          <w:bCs/>
        </w:rPr>
        <w:t>:</w:t>
      </w:r>
      <w:r w:rsidR="009123F8">
        <w:rPr>
          <w:rFonts w:ascii="Arial" w:hAnsi="Arial"/>
          <w:b/>
          <w:bCs/>
        </w:rPr>
        <w:t xml:space="preserve"> </w:t>
      </w:r>
      <w:r w:rsidR="003B14B1">
        <w:rPr>
          <w:rFonts w:ascii="Arial" w:hAnsi="Arial"/>
          <w:b/>
          <w:bCs/>
        </w:rPr>
        <w:t>November</w:t>
      </w:r>
      <w:r w:rsidR="003F0303">
        <w:rPr>
          <w:rFonts w:ascii="Arial" w:hAnsi="Arial"/>
          <w:b/>
          <w:bCs/>
        </w:rPr>
        <w:t xml:space="preserve"> </w:t>
      </w:r>
      <w:r w:rsidR="00B80087">
        <w:rPr>
          <w:rFonts w:ascii="Arial" w:hAnsi="Arial"/>
          <w:b/>
          <w:bCs/>
        </w:rPr>
        <w:t>2014</w:t>
      </w:r>
    </w:p>
    <w:p w:rsid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tbl>
      <w:tblPr>
        <w:tblW w:w="8320" w:type="dxa"/>
        <w:tblInd w:w="98" w:type="dxa"/>
        <w:tblLook w:val="04A0" w:firstRow="1" w:lastRow="0" w:firstColumn="1" w:lastColumn="0" w:noHBand="0" w:noVBand="1"/>
      </w:tblPr>
      <w:tblGrid>
        <w:gridCol w:w="3740"/>
        <w:gridCol w:w="2480"/>
        <w:gridCol w:w="2100"/>
      </w:tblGrid>
      <w:tr w:rsidR="003B14B1" w:rsidRPr="003B14B1" w:rsidTr="003B14B1">
        <w:trPr>
          <w:trHeight w:val="1215"/>
        </w:trPr>
        <w:tc>
          <w:tcPr>
            <w:tcW w:w="3740" w:type="dxa"/>
            <w:tcBorders>
              <w:top w:val="single" w:sz="8" w:space="0" w:color="auto"/>
              <w:left w:val="single" w:sz="8" w:space="0" w:color="auto"/>
              <w:bottom w:val="nil"/>
              <w:right w:val="single" w:sz="8" w:space="0" w:color="auto"/>
            </w:tcBorders>
            <w:shd w:val="clear" w:color="9BBB59" w:fill="9BBB59"/>
            <w:vAlign w:val="bottom"/>
            <w:hideMark/>
          </w:tcPr>
          <w:p w:rsidR="003B14B1" w:rsidRPr="003B14B1" w:rsidRDefault="003B14B1" w:rsidP="003B14B1">
            <w:pPr>
              <w:spacing w:line="240" w:lineRule="auto"/>
              <w:jc w:val="center"/>
              <w:rPr>
                <w:rFonts w:ascii="Arial" w:eastAsia="Times New Roman" w:hAnsi="Arial"/>
                <w:b/>
                <w:bCs/>
                <w:color w:val="auto"/>
                <w:sz w:val="24"/>
                <w:szCs w:val="24"/>
                <w:lang w:val="en-ZA" w:eastAsia="en-ZA"/>
              </w:rPr>
            </w:pPr>
            <w:r w:rsidRPr="003B14B1">
              <w:rPr>
                <w:rFonts w:ascii="Arial" w:eastAsia="Times New Roman" w:hAnsi="Arial"/>
                <w:b/>
                <w:bCs/>
                <w:color w:val="auto"/>
                <w:sz w:val="24"/>
                <w:szCs w:val="24"/>
                <w:lang w:val="en-ZA" w:eastAsia="en-ZA"/>
              </w:rPr>
              <w:t>Main and sub</w:t>
            </w:r>
            <w:r>
              <w:rPr>
                <w:rFonts w:ascii="Arial" w:eastAsia="Times New Roman" w:hAnsi="Arial"/>
                <w:b/>
                <w:bCs/>
                <w:color w:val="auto"/>
                <w:sz w:val="24"/>
                <w:szCs w:val="24"/>
                <w:lang w:val="en-ZA" w:eastAsia="en-ZA"/>
              </w:rPr>
              <w:t>-</w:t>
            </w:r>
            <w:r w:rsidRPr="003B14B1">
              <w:rPr>
                <w:rFonts w:ascii="Arial" w:eastAsia="Times New Roman" w:hAnsi="Arial"/>
                <w:b/>
                <w:bCs/>
                <w:color w:val="auto"/>
                <w:sz w:val="24"/>
                <w:szCs w:val="24"/>
                <w:lang w:val="en-ZA" w:eastAsia="en-ZA"/>
              </w:rPr>
              <w:t xml:space="preserve"> indices of the Kwa-Zulu Investment Monitor</w:t>
            </w:r>
          </w:p>
        </w:tc>
        <w:tc>
          <w:tcPr>
            <w:tcW w:w="2480" w:type="dxa"/>
            <w:tcBorders>
              <w:top w:val="single" w:sz="8" w:space="0" w:color="auto"/>
              <w:left w:val="single" w:sz="8" w:space="0" w:color="auto"/>
              <w:bottom w:val="nil"/>
              <w:right w:val="single" w:sz="8" w:space="0" w:color="auto"/>
            </w:tcBorders>
            <w:shd w:val="clear" w:color="9BBB59" w:fill="9BBB59"/>
            <w:vAlign w:val="bottom"/>
            <w:hideMark/>
          </w:tcPr>
          <w:p w:rsidR="003B14B1" w:rsidRPr="003B14B1" w:rsidRDefault="003B14B1" w:rsidP="003B14B1">
            <w:pPr>
              <w:spacing w:line="240" w:lineRule="auto"/>
              <w:jc w:val="center"/>
              <w:rPr>
                <w:rFonts w:ascii="Arial" w:eastAsia="Times New Roman" w:hAnsi="Arial"/>
                <w:b/>
                <w:bCs/>
                <w:color w:val="auto"/>
                <w:sz w:val="24"/>
                <w:szCs w:val="24"/>
                <w:lang w:val="en-ZA" w:eastAsia="en-ZA"/>
              </w:rPr>
            </w:pPr>
            <w:r w:rsidRPr="003B14B1">
              <w:rPr>
                <w:rFonts w:ascii="Arial" w:eastAsia="Times New Roman" w:hAnsi="Arial"/>
                <w:b/>
                <w:bCs/>
                <w:color w:val="auto"/>
                <w:sz w:val="24"/>
                <w:szCs w:val="24"/>
                <w:lang w:val="en-ZA" w:eastAsia="en-ZA"/>
              </w:rPr>
              <w:t>% Change on a year ago</w:t>
            </w:r>
          </w:p>
        </w:tc>
        <w:tc>
          <w:tcPr>
            <w:tcW w:w="2100" w:type="dxa"/>
            <w:tcBorders>
              <w:top w:val="single" w:sz="8" w:space="0" w:color="auto"/>
              <w:left w:val="single" w:sz="8" w:space="0" w:color="auto"/>
              <w:bottom w:val="nil"/>
              <w:right w:val="single" w:sz="8" w:space="0" w:color="auto"/>
            </w:tcBorders>
            <w:shd w:val="clear" w:color="9BBB59" w:fill="9BBB59"/>
            <w:vAlign w:val="bottom"/>
            <w:hideMark/>
          </w:tcPr>
          <w:p w:rsidR="003B14B1" w:rsidRPr="003B14B1" w:rsidRDefault="003B14B1" w:rsidP="003B14B1">
            <w:pPr>
              <w:spacing w:line="240" w:lineRule="auto"/>
              <w:jc w:val="center"/>
              <w:rPr>
                <w:rFonts w:ascii="Arial" w:eastAsia="Times New Roman" w:hAnsi="Arial"/>
                <w:b/>
                <w:bCs/>
                <w:color w:val="auto"/>
                <w:sz w:val="24"/>
                <w:szCs w:val="24"/>
                <w:lang w:val="en-ZA" w:eastAsia="en-ZA"/>
              </w:rPr>
            </w:pPr>
            <w:r w:rsidRPr="003B14B1">
              <w:rPr>
                <w:rFonts w:ascii="Arial" w:eastAsia="Times New Roman" w:hAnsi="Arial"/>
                <w:b/>
                <w:bCs/>
                <w:color w:val="auto"/>
                <w:sz w:val="24"/>
                <w:szCs w:val="24"/>
                <w:lang w:val="en-ZA" w:eastAsia="en-ZA"/>
              </w:rPr>
              <w:t>% Change from a  quarter ago</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Transport Equipment</w:t>
            </w:r>
          </w:p>
        </w:tc>
        <w:tc>
          <w:tcPr>
            <w:tcW w:w="2480" w:type="dxa"/>
            <w:tcBorders>
              <w:top w:val="single" w:sz="4" w:space="0" w:color="9BBB59"/>
              <w:left w:val="nil"/>
              <w:bottom w:val="nil"/>
              <w:right w:val="nil"/>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15.8%</w:t>
            </w:r>
          </w:p>
        </w:tc>
        <w:tc>
          <w:tcPr>
            <w:tcW w:w="2100" w:type="dxa"/>
            <w:tcBorders>
              <w:top w:val="single" w:sz="4" w:space="0" w:color="9BBB59"/>
              <w:left w:val="nil"/>
              <w:bottom w:val="nil"/>
              <w:right w:val="single" w:sz="4" w:space="0" w:color="9BBB59"/>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1.6%</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Buildings</w:t>
            </w:r>
          </w:p>
        </w:tc>
        <w:tc>
          <w:tcPr>
            <w:tcW w:w="2480" w:type="dxa"/>
            <w:tcBorders>
              <w:top w:val="single" w:sz="4" w:space="0" w:color="9BBB59"/>
              <w:left w:val="nil"/>
              <w:bottom w:val="nil"/>
              <w:right w:val="nil"/>
            </w:tcBorders>
            <w:shd w:val="clear" w:color="000000" w:fill="FF000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-6.6%</w:t>
            </w:r>
          </w:p>
        </w:tc>
        <w:tc>
          <w:tcPr>
            <w:tcW w:w="2100" w:type="dxa"/>
            <w:tcBorders>
              <w:top w:val="single" w:sz="4" w:space="0" w:color="9BBB59"/>
              <w:left w:val="nil"/>
              <w:bottom w:val="nil"/>
              <w:right w:val="single" w:sz="4" w:space="0" w:color="9BBB59"/>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8.1%</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Civil Construction</w:t>
            </w:r>
          </w:p>
        </w:tc>
        <w:tc>
          <w:tcPr>
            <w:tcW w:w="2480" w:type="dxa"/>
            <w:tcBorders>
              <w:top w:val="single" w:sz="4" w:space="0" w:color="9BBB59"/>
              <w:left w:val="nil"/>
              <w:bottom w:val="nil"/>
              <w:right w:val="nil"/>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4.2%</w:t>
            </w:r>
          </w:p>
        </w:tc>
        <w:tc>
          <w:tcPr>
            <w:tcW w:w="2100" w:type="dxa"/>
            <w:tcBorders>
              <w:top w:val="single" w:sz="4" w:space="0" w:color="9BBB59"/>
              <w:left w:val="nil"/>
              <w:bottom w:val="nil"/>
              <w:right w:val="single" w:sz="4" w:space="0" w:color="9BBB59"/>
            </w:tcBorders>
            <w:shd w:val="clear" w:color="000000" w:fill="FF000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-0.3%</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Machinery</w:t>
            </w:r>
          </w:p>
        </w:tc>
        <w:tc>
          <w:tcPr>
            <w:tcW w:w="2480" w:type="dxa"/>
            <w:tcBorders>
              <w:top w:val="single" w:sz="4" w:space="0" w:color="9BBB59"/>
              <w:left w:val="nil"/>
              <w:bottom w:val="nil"/>
              <w:right w:val="nil"/>
            </w:tcBorders>
            <w:shd w:val="clear" w:color="000000" w:fill="FF000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-2.4%</w:t>
            </w:r>
          </w:p>
        </w:tc>
        <w:tc>
          <w:tcPr>
            <w:tcW w:w="2100" w:type="dxa"/>
            <w:tcBorders>
              <w:top w:val="single" w:sz="4" w:space="0" w:color="9BBB59"/>
              <w:left w:val="nil"/>
              <w:bottom w:val="nil"/>
              <w:right w:val="single" w:sz="4" w:space="0" w:color="9BBB59"/>
            </w:tcBorders>
            <w:shd w:val="clear" w:color="000000" w:fill="FF000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-0.1%</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ICT Equipment</w:t>
            </w:r>
          </w:p>
        </w:tc>
        <w:tc>
          <w:tcPr>
            <w:tcW w:w="2480" w:type="dxa"/>
            <w:tcBorders>
              <w:top w:val="single" w:sz="4" w:space="0" w:color="9BBB59"/>
              <w:left w:val="nil"/>
              <w:bottom w:val="nil"/>
              <w:right w:val="nil"/>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5.4%</w:t>
            </w:r>
          </w:p>
        </w:tc>
        <w:tc>
          <w:tcPr>
            <w:tcW w:w="2100" w:type="dxa"/>
            <w:tcBorders>
              <w:top w:val="single" w:sz="4" w:space="0" w:color="9BBB59"/>
              <w:left w:val="nil"/>
              <w:bottom w:val="nil"/>
              <w:right w:val="single" w:sz="4" w:space="0" w:color="9BBB59"/>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3.9%</w:t>
            </w:r>
          </w:p>
        </w:tc>
      </w:tr>
      <w:tr w:rsidR="003B14B1" w:rsidRPr="003B14B1" w:rsidTr="003B14B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Transfers</w:t>
            </w:r>
          </w:p>
        </w:tc>
        <w:tc>
          <w:tcPr>
            <w:tcW w:w="2480" w:type="dxa"/>
            <w:tcBorders>
              <w:top w:val="single" w:sz="4" w:space="0" w:color="9BBB59"/>
              <w:left w:val="nil"/>
              <w:bottom w:val="nil"/>
              <w:right w:val="nil"/>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8.6%</w:t>
            </w:r>
          </w:p>
        </w:tc>
        <w:tc>
          <w:tcPr>
            <w:tcW w:w="2100" w:type="dxa"/>
            <w:tcBorders>
              <w:top w:val="single" w:sz="4" w:space="0" w:color="9BBB59"/>
              <w:left w:val="nil"/>
              <w:bottom w:val="nil"/>
              <w:right w:val="single" w:sz="4" w:space="0" w:color="9BBB59"/>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11.4%</w:t>
            </w:r>
          </w:p>
        </w:tc>
      </w:tr>
      <w:tr w:rsidR="003B14B1" w:rsidRPr="003B14B1" w:rsidTr="003B14B1">
        <w:trPr>
          <w:trHeight w:val="300"/>
        </w:trPr>
        <w:tc>
          <w:tcPr>
            <w:tcW w:w="3740" w:type="dxa"/>
            <w:tcBorders>
              <w:top w:val="single" w:sz="4" w:space="0" w:color="9BBB59"/>
              <w:left w:val="single" w:sz="4" w:space="0" w:color="9BBB59"/>
              <w:bottom w:val="single" w:sz="4" w:space="0" w:color="9BBB59"/>
              <w:right w:val="nil"/>
            </w:tcBorders>
            <w:shd w:val="clear" w:color="auto" w:fill="auto"/>
            <w:noWrap/>
            <w:vAlign w:val="bottom"/>
            <w:hideMark/>
          </w:tcPr>
          <w:p w:rsidR="003B14B1" w:rsidRPr="003B14B1" w:rsidRDefault="003B14B1" w:rsidP="003B14B1">
            <w:pPr>
              <w:spacing w:line="240" w:lineRule="auto"/>
              <w:jc w:val="left"/>
              <w:rPr>
                <w:rFonts w:ascii="Calibri" w:eastAsia="Times New Roman" w:hAnsi="Calibri" w:cs="Times New Roman"/>
                <w:b/>
                <w:bCs/>
                <w:color w:val="000000"/>
                <w:sz w:val="22"/>
                <w:szCs w:val="22"/>
                <w:lang w:val="en-ZA" w:eastAsia="en-ZA"/>
              </w:rPr>
            </w:pPr>
            <w:r w:rsidRPr="003B14B1">
              <w:rPr>
                <w:rFonts w:ascii="Calibri" w:eastAsia="Times New Roman" w:hAnsi="Calibri" w:cs="Times New Roman"/>
                <w:b/>
                <w:bCs/>
                <w:color w:val="000000"/>
                <w:sz w:val="22"/>
                <w:szCs w:val="22"/>
                <w:lang w:val="en-ZA" w:eastAsia="en-ZA"/>
              </w:rPr>
              <w:t>Total Investment Index</w:t>
            </w:r>
          </w:p>
        </w:tc>
        <w:tc>
          <w:tcPr>
            <w:tcW w:w="2480" w:type="dxa"/>
            <w:tcBorders>
              <w:top w:val="single" w:sz="4" w:space="0" w:color="9BBB59"/>
              <w:left w:val="nil"/>
              <w:bottom w:val="single" w:sz="4" w:space="0" w:color="9BBB59"/>
              <w:right w:val="nil"/>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2.0%</w:t>
            </w:r>
          </w:p>
        </w:tc>
        <w:tc>
          <w:tcPr>
            <w:tcW w:w="2100" w:type="dxa"/>
            <w:tcBorders>
              <w:top w:val="single" w:sz="4" w:space="0" w:color="9BBB59"/>
              <w:left w:val="nil"/>
              <w:bottom w:val="single" w:sz="4" w:space="0" w:color="9BBB59"/>
              <w:right w:val="single" w:sz="4" w:space="0" w:color="9BBB59"/>
            </w:tcBorders>
            <w:shd w:val="clear" w:color="000000" w:fill="00B050"/>
            <w:noWrap/>
            <w:vAlign w:val="bottom"/>
            <w:hideMark/>
          </w:tcPr>
          <w:p w:rsidR="003B14B1" w:rsidRPr="003B14B1" w:rsidRDefault="003B14B1" w:rsidP="003B14B1">
            <w:pPr>
              <w:spacing w:line="240" w:lineRule="auto"/>
              <w:jc w:val="right"/>
              <w:rPr>
                <w:rFonts w:ascii="Calibri" w:eastAsia="Times New Roman" w:hAnsi="Calibri" w:cs="Times New Roman"/>
                <w:color w:val="auto"/>
                <w:sz w:val="22"/>
                <w:szCs w:val="22"/>
                <w:lang w:val="en-ZA" w:eastAsia="en-ZA"/>
              </w:rPr>
            </w:pPr>
            <w:r w:rsidRPr="003B14B1">
              <w:rPr>
                <w:rFonts w:ascii="Calibri" w:eastAsia="Times New Roman" w:hAnsi="Calibri" w:cs="Times New Roman"/>
                <w:color w:val="auto"/>
                <w:sz w:val="22"/>
                <w:szCs w:val="22"/>
                <w:lang w:val="en-ZA" w:eastAsia="en-ZA"/>
              </w:rPr>
              <w:t>2.0%</w:t>
            </w:r>
          </w:p>
        </w:tc>
      </w:tr>
    </w:tbl>
    <w:p w:rsidR="00AA267D" w:rsidRP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sectPr w:rsidR="00AA267D" w:rsidRPr="00AA267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D46" w:rsidRDefault="00077D46" w:rsidP="005A53F9">
      <w:pPr>
        <w:spacing w:line="240" w:lineRule="auto"/>
      </w:pPr>
      <w:r>
        <w:separator/>
      </w:r>
    </w:p>
  </w:endnote>
  <w:endnote w:type="continuationSeparator" w:id="0">
    <w:p w:rsidR="00077D46" w:rsidRDefault="00077D46" w:rsidP="005A5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F7630">
    <w:pPr>
      <w:pStyle w:val="Footer"/>
    </w:pPr>
    <w:r>
      <w:rPr>
        <w:noProof/>
        <w:lang w:val="en-ZA" w:eastAsia="en-ZA"/>
      </w:rPr>
      <mc:AlternateContent>
        <mc:Choice Requires="wps">
          <w:drawing>
            <wp:anchor distT="0" distB="0" distL="114300" distR="114300" simplePos="0" relativeHeight="251660288" behindDoc="0" locked="0" layoutInCell="1" allowOverlap="1">
              <wp:simplePos x="0" y="0"/>
              <wp:positionH relativeFrom="column">
                <wp:posOffset>5180965</wp:posOffset>
              </wp:positionH>
              <wp:positionV relativeFrom="paragraph">
                <wp:posOffset>19050</wp:posOffset>
              </wp:positionV>
              <wp:extent cx="1939925" cy="1122045"/>
              <wp:effectExtent l="0" t="0" r="3810" b="190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1122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8551F" w:rsidRPr="009A05FE" w:rsidRDefault="0078551F"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07.95pt;margin-top:1.5pt;width:152.75pt;height:8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8551F" w:rsidRPr="009A05FE" w:rsidRDefault="0078551F"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mc:Fallback>
      </mc:AlternateContent>
    </w:r>
    <w:r>
      <w:rPr>
        <w:noProof/>
        <w:lang w:val="en-ZA" w:eastAsia="en-ZA"/>
      </w:rPr>
      <mc:AlternateContent>
        <mc:Choice Requires="wps">
          <w:drawing>
            <wp:anchor distT="0" distB="0" distL="114300" distR="114300" simplePos="0" relativeHeight="251659264" behindDoc="0" locked="0" layoutInCell="1" allowOverlap="1">
              <wp:simplePos x="0" y="0"/>
              <wp:positionH relativeFrom="column">
                <wp:posOffset>62865</wp:posOffset>
              </wp:positionH>
              <wp:positionV relativeFrom="paragraph">
                <wp:posOffset>19050</wp:posOffset>
              </wp:positionV>
              <wp:extent cx="1857375" cy="908685"/>
              <wp:effectExtent l="0" t="0" r="381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95pt;margin-top:1.5pt;width:146.25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mc:Fallback>
      </mc:AlternateContent>
    </w:r>
    <w:r>
      <w:rPr>
        <w:noProof/>
        <w:lang w:val="en-ZA" w:eastAsia="en-ZA"/>
      </w:rPr>
      <mc:AlternateContent>
        <mc:Choice Requires="wps">
          <w:drawing>
            <wp:anchor distT="0" distB="0" distL="114300" distR="114300" simplePos="0" relativeHeight="251658240" behindDoc="0" locked="0" layoutInCell="1" allowOverlap="1">
              <wp:simplePos x="0" y="0"/>
              <wp:positionH relativeFrom="column">
                <wp:posOffset>2668270</wp:posOffset>
              </wp:positionH>
              <wp:positionV relativeFrom="paragraph">
                <wp:posOffset>19050</wp:posOffset>
              </wp:positionV>
              <wp:extent cx="1968500" cy="962025"/>
              <wp:effectExtent l="127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10.1pt;margin-top:1.5pt;width:15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85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D46" w:rsidRDefault="00077D46" w:rsidP="005A53F9">
      <w:pPr>
        <w:spacing w:line="240" w:lineRule="auto"/>
      </w:pPr>
      <w:r>
        <w:separator/>
      </w:r>
    </w:p>
  </w:footnote>
  <w:footnote w:type="continuationSeparator" w:id="0">
    <w:p w:rsidR="00077D46" w:rsidRDefault="00077D46" w:rsidP="005A53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0D0C4B">
    <w:pPr>
      <w:pStyle w:val="Header"/>
    </w:pPr>
    <w:r>
      <w:rPr>
        <w:noProof/>
        <w:lang w:val="en-ZA" w:eastAsia="en-ZA"/>
      </w:rPr>
      <w:drawing>
        <wp:inline distT="0" distB="0" distL="0" distR="0">
          <wp:extent cx="2162755" cy="674105"/>
          <wp:effectExtent l="0" t="0" r="0" b="0"/>
          <wp:docPr id="9" name="Picture 9"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62175" cy="673924"/>
                  </a:xfrm>
                  <a:prstGeom prst="rect">
                    <a:avLst/>
                  </a:prstGeom>
                  <a:noFill/>
                  <a:ln>
                    <a:noFill/>
                  </a:ln>
                </pic:spPr>
              </pic:pic>
            </a:graphicData>
          </a:graphic>
        </wp:inline>
      </w:drawing>
    </w:r>
    <w:r w:rsidR="0078551F">
      <w:t xml:space="preserve">     </w:t>
    </w:r>
    <w:r w:rsidR="0078551F" w:rsidRPr="005A53F9">
      <w:rPr>
        <w:noProof/>
        <w:lang w:val="en-ZA" w:eastAsia="en-ZA"/>
      </w:rPr>
      <w:drawing>
        <wp:inline distT="0" distB="0" distL="0" distR="0">
          <wp:extent cx="2417196" cy="675861"/>
          <wp:effectExtent l="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418677" cy="676275"/>
                  </a:xfrm>
                  <a:prstGeom prst="rect">
                    <a:avLst/>
                  </a:prstGeom>
                  <a:noFill/>
                  <a:ln w="9525">
                    <a:noFill/>
                    <a:miter lim="800000"/>
                    <a:headEnd/>
                    <a:tailEnd/>
                  </a:ln>
                </pic:spPr>
              </pic:pic>
            </a:graphicData>
          </a:graphic>
        </wp:inline>
      </w:drawing>
    </w:r>
    <w:r w:rsidR="0078551F">
      <w:t xml:space="preserve">  </w:t>
    </w:r>
    <w:r w:rsidR="007C6691">
      <w:rPr>
        <w:noProof/>
        <w:lang w:val="en-ZA" w:eastAsia="en-ZA"/>
      </w:rPr>
      <w:drawing>
        <wp:inline distT="0" distB="0" distL="0" distR="0">
          <wp:extent cx="2186750" cy="516835"/>
          <wp:effectExtent l="0" t="0" r="444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199947" cy="519954"/>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8551F">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BB1"/>
    <w:rsid w:val="00077D46"/>
    <w:rsid w:val="00096E6A"/>
    <w:rsid w:val="000A2C75"/>
    <w:rsid w:val="000A346C"/>
    <w:rsid w:val="000C27C2"/>
    <w:rsid w:val="000D0C4B"/>
    <w:rsid w:val="000F6EDC"/>
    <w:rsid w:val="00104892"/>
    <w:rsid w:val="00106B8F"/>
    <w:rsid w:val="0012629B"/>
    <w:rsid w:val="0013750B"/>
    <w:rsid w:val="0014110B"/>
    <w:rsid w:val="00161F9C"/>
    <w:rsid w:val="00184712"/>
    <w:rsid w:val="001D677E"/>
    <w:rsid w:val="001E4052"/>
    <w:rsid w:val="0021035A"/>
    <w:rsid w:val="00235EF0"/>
    <w:rsid w:val="00266108"/>
    <w:rsid w:val="0026745A"/>
    <w:rsid w:val="00270E2B"/>
    <w:rsid w:val="00292CA5"/>
    <w:rsid w:val="0029510E"/>
    <w:rsid w:val="002A1CFB"/>
    <w:rsid w:val="002F340E"/>
    <w:rsid w:val="002F45A6"/>
    <w:rsid w:val="003453B9"/>
    <w:rsid w:val="00347488"/>
    <w:rsid w:val="0037012B"/>
    <w:rsid w:val="003B000F"/>
    <w:rsid w:val="003B0BDF"/>
    <w:rsid w:val="003B14B1"/>
    <w:rsid w:val="003C1263"/>
    <w:rsid w:val="003D2C89"/>
    <w:rsid w:val="003E5E94"/>
    <w:rsid w:val="003E7AB4"/>
    <w:rsid w:val="003F0303"/>
    <w:rsid w:val="003F2D00"/>
    <w:rsid w:val="004034D5"/>
    <w:rsid w:val="00416766"/>
    <w:rsid w:val="00451BA1"/>
    <w:rsid w:val="00454BB1"/>
    <w:rsid w:val="004E73F3"/>
    <w:rsid w:val="005320CC"/>
    <w:rsid w:val="00533EC8"/>
    <w:rsid w:val="0055432C"/>
    <w:rsid w:val="00560FC5"/>
    <w:rsid w:val="0058494E"/>
    <w:rsid w:val="005A53F9"/>
    <w:rsid w:val="005A556D"/>
    <w:rsid w:val="005E1A21"/>
    <w:rsid w:val="005F2B15"/>
    <w:rsid w:val="005F396D"/>
    <w:rsid w:val="005F43DA"/>
    <w:rsid w:val="005F50AD"/>
    <w:rsid w:val="00611AB2"/>
    <w:rsid w:val="00652CA5"/>
    <w:rsid w:val="00656738"/>
    <w:rsid w:val="00662636"/>
    <w:rsid w:val="00680206"/>
    <w:rsid w:val="00685C8D"/>
    <w:rsid w:val="0069663D"/>
    <w:rsid w:val="006A6E68"/>
    <w:rsid w:val="006C21FF"/>
    <w:rsid w:val="006C3022"/>
    <w:rsid w:val="006D1C90"/>
    <w:rsid w:val="006D41EB"/>
    <w:rsid w:val="00717F82"/>
    <w:rsid w:val="00726F5E"/>
    <w:rsid w:val="00756B58"/>
    <w:rsid w:val="007743C5"/>
    <w:rsid w:val="007746EC"/>
    <w:rsid w:val="0078551F"/>
    <w:rsid w:val="00787BAD"/>
    <w:rsid w:val="00794466"/>
    <w:rsid w:val="007B66FB"/>
    <w:rsid w:val="007C6691"/>
    <w:rsid w:val="007F3367"/>
    <w:rsid w:val="007F7630"/>
    <w:rsid w:val="008118BF"/>
    <w:rsid w:val="00837FA6"/>
    <w:rsid w:val="00850C05"/>
    <w:rsid w:val="00855F84"/>
    <w:rsid w:val="00860D7D"/>
    <w:rsid w:val="008734E5"/>
    <w:rsid w:val="00887C82"/>
    <w:rsid w:val="008C2F47"/>
    <w:rsid w:val="008C38FE"/>
    <w:rsid w:val="009123F8"/>
    <w:rsid w:val="009321BA"/>
    <w:rsid w:val="00946625"/>
    <w:rsid w:val="00950B0E"/>
    <w:rsid w:val="009B3288"/>
    <w:rsid w:val="009F4B73"/>
    <w:rsid w:val="00A27093"/>
    <w:rsid w:val="00A31FFD"/>
    <w:rsid w:val="00A326E8"/>
    <w:rsid w:val="00A415E3"/>
    <w:rsid w:val="00A62162"/>
    <w:rsid w:val="00A700CF"/>
    <w:rsid w:val="00A9007D"/>
    <w:rsid w:val="00AA267D"/>
    <w:rsid w:val="00AD1583"/>
    <w:rsid w:val="00AD6E54"/>
    <w:rsid w:val="00B12C09"/>
    <w:rsid w:val="00B63885"/>
    <w:rsid w:val="00B705F6"/>
    <w:rsid w:val="00B72457"/>
    <w:rsid w:val="00B80087"/>
    <w:rsid w:val="00B865C5"/>
    <w:rsid w:val="00B876D1"/>
    <w:rsid w:val="00B952A0"/>
    <w:rsid w:val="00BD3888"/>
    <w:rsid w:val="00C13014"/>
    <w:rsid w:val="00C17D4A"/>
    <w:rsid w:val="00C634F7"/>
    <w:rsid w:val="00C646B7"/>
    <w:rsid w:val="00C81368"/>
    <w:rsid w:val="00C9106D"/>
    <w:rsid w:val="00C94F75"/>
    <w:rsid w:val="00C976B4"/>
    <w:rsid w:val="00CA46F5"/>
    <w:rsid w:val="00CC5AD1"/>
    <w:rsid w:val="00CD2455"/>
    <w:rsid w:val="00CD298D"/>
    <w:rsid w:val="00CD39B4"/>
    <w:rsid w:val="00D04DFB"/>
    <w:rsid w:val="00D05FA7"/>
    <w:rsid w:val="00D07179"/>
    <w:rsid w:val="00D177BD"/>
    <w:rsid w:val="00D17DD5"/>
    <w:rsid w:val="00D42C88"/>
    <w:rsid w:val="00D531FD"/>
    <w:rsid w:val="00D86147"/>
    <w:rsid w:val="00DA0BE3"/>
    <w:rsid w:val="00DA3DB3"/>
    <w:rsid w:val="00DE082C"/>
    <w:rsid w:val="00DE6D49"/>
    <w:rsid w:val="00DE6F3D"/>
    <w:rsid w:val="00DF7907"/>
    <w:rsid w:val="00E04DE4"/>
    <w:rsid w:val="00E14D45"/>
    <w:rsid w:val="00E4336B"/>
    <w:rsid w:val="00E45A38"/>
    <w:rsid w:val="00E857F8"/>
    <w:rsid w:val="00E91A53"/>
    <w:rsid w:val="00EB6C11"/>
    <w:rsid w:val="00EC2FEE"/>
    <w:rsid w:val="00EF73C6"/>
    <w:rsid w:val="00F37AF9"/>
    <w:rsid w:val="00F37D2D"/>
    <w:rsid w:val="00F60399"/>
    <w:rsid w:val="00FB36A2"/>
    <w:rsid w:val="00FF3673"/>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93426">
      <w:bodyDiv w:val="1"/>
      <w:marLeft w:val="0"/>
      <w:marRight w:val="0"/>
      <w:marTop w:val="0"/>
      <w:marBottom w:val="0"/>
      <w:divBdr>
        <w:top w:val="none" w:sz="0" w:space="0" w:color="auto"/>
        <w:left w:val="none" w:sz="0" w:space="0" w:color="auto"/>
        <w:bottom w:val="none" w:sz="0" w:space="0" w:color="auto"/>
        <w:right w:val="none" w:sz="0" w:space="0" w:color="auto"/>
      </w:divBdr>
    </w:div>
    <w:div w:id="109206049">
      <w:bodyDiv w:val="1"/>
      <w:marLeft w:val="0"/>
      <w:marRight w:val="0"/>
      <w:marTop w:val="0"/>
      <w:marBottom w:val="0"/>
      <w:divBdr>
        <w:top w:val="none" w:sz="0" w:space="0" w:color="auto"/>
        <w:left w:val="none" w:sz="0" w:space="0" w:color="auto"/>
        <w:bottom w:val="none" w:sz="0" w:space="0" w:color="auto"/>
        <w:right w:val="none" w:sz="0" w:space="0" w:color="auto"/>
      </w:divBdr>
    </w:div>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124887414">
      <w:bodyDiv w:val="1"/>
      <w:marLeft w:val="0"/>
      <w:marRight w:val="0"/>
      <w:marTop w:val="0"/>
      <w:marBottom w:val="0"/>
      <w:divBdr>
        <w:top w:val="none" w:sz="0" w:space="0" w:color="auto"/>
        <w:left w:val="none" w:sz="0" w:space="0" w:color="auto"/>
        <w:bottom w:val="none" w:sz="0" w:space="0" w:color="auto"/>
        <w:right w:val="none" w:sz="0" w:space="0" w:color="auto"/>
      </w:divBdr>
    </w:div>
    <w:div w:id="1151941932">
      <w:bodyDiv w:val="1"/>
      <w:marLeft w:val="0"/>
      <w:marRight w:val="0"/>
      <w:marTop w:val="0"/>
      <w:marBottom w:val="0"/>
      <w:divBdr>
        <w:top w:val="none" w:sz="0" w:space="0" w:color="auto"/>
        <w:left w:val="none" w:sz="0" w:space="0" w:color="auto"/>
        <w:bottom w:val="none" w:sz="0" w:space="0" w:color="auto"/>
        <w:right w:val="none" w:sz="0" w:space="0" w:color="auto"/>
      </w:divBdr>
    </w:div>
    <w:div w:id="1238588122">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554654282">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1761368538">
      <w:bodyDiv w:val="1"/>
      <w:marLeft w:val="0"/>
      <w:marRight w:val="0"/>
      <w:marTop w:val="0"/>
      <w:marBottom w:val="0"/>
      <w:divBdr>
        <w:top w:val="none" w:sz="0" w:space="0" w:color="auto"/>
        <w:left w:val="none" w:sz="0" w:space="0" w:color="auto"/>
        <w:bottom w:val="none" w:sz="0" w:space="0" w:color="auto"/>
        <w:right w:val="none" w:sz="0" w:space="0" w:color="auto"/>
      </w:divBdr>
    </w:div>
    <w:div w:id="2020698791">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0B50A7-0DE8-4C0F-BD1F-217D631B6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2015-02-12T09:13:00Z</dcterms:created>
  <dcterms:modified xsi:type="dcterms:W3CDTF">2015-02-12T09:13:00Z</dcterms:modified>
</cp:coreProperties>
</file>