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3F9" w:rsidRDefault="005A53F9" w:rsidP="00454BB1">
      <w:pPr>
        <w:jc w:val="center"/>
        <w:rPr>
          <w:rFonts w:ascii="Book Antiqua" w:hAnsi="Book Antiqua"/>
          <w:noProof/>
        </w:rPr>
      </w:pPr>
      <w:bookmarkStart w:id="0" w:name="_GoBack"/>
      <w:bookmarkEnd w:id="0"/>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454BB1" w:rsidRPr="00454BB1" w:rsidRDefault="00454BB1" w:rsidP="003B000F">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AC3BA9" w:rsidP="00454BB1">
      <w:pPr>
        <w:jc w:val="center"/>
        <w:rPr>
          <w:rFonts w:ascii="Arial" w:hAnsi="Arial"/>
          <w:b/>
        </w:rPr>
      </w:pPr>
      <w:r>
        <w:rPr>
          <w:rFonts w:ascii="Arial" w:hAnsi="Arial"/>
          <w:b/>
        </w:rPr>
        <w:t xml:space="preserve">December </w:t>
      </w:r>
      <w:r w:rsidR="007F7630">
        <w:rPr>
          <w:rFonts w:ascii="Arial" w:hAnsi="Arial"/>
          <w:b/>
        </w:rPr>
        <w:t>201</w:t>
      </w:r>
      <w:r w:rsidR="00B80087">
        <w:rPr>
          <w:rFonts w:ascii="Arial" w:hAnsi="Arial"/>
          <w:b/>
        </w:rPr>
        <w:t>4</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8"/>
          <w:footerReference w:type="default" r:id="rId9"/>
          <w:pgSz w:w="12240" w:h="15840"/>
          <w:pgMar w:top="3649" w:right="474" w:bottom="1440" w:left="426" w:header="2127" w:footer="2836" w:gutter="0"/>
          <w:cols w:space="708"/>
          <w:docGrid w:linePitch="360"/>
        </w:sectPr>
      </w:pPr>
      <w:r>
        <w:rPr>
          <w:rFonts w:ascii="Arial" w:hAnsi="Arial"/>
        </w:rPr>
        <w:br w:type="page"/>
      </w:r>
    </w:p>
    <w:p w:rsidR="00E14D45" w:rsidRPr="00D17DD5" w:rsidRDefault="00E14D45" w:rsidP="00D17DD5">
      <w:pPr>
        <w:rPr>
          <w:rFonts w:ascii="Arial" w:hAnsi="Arial"/>
          <w:b/>
          <w:sz w:val="32"/>
        </w:rPr>
      </w:pPr>
    </w:p>
    <w:p w:rsidR="00E45A38" w:rsidRPr="00AC3BA9" w:rsidRDefault="00AC3BA9" w:rsidP="00E45A38">
      <w:pPr>
        <w:rPr>
          <w:rFonts w:ascii="Arial" w:hAnsi="Arial"/>
          <w:b/>
          <w:bCs/>
          <w:sz w:val="32"/>
        </w:rPr>
      </w:pPr>
      <w:r>
        <w:rPr>
          <w:rFonts w:ascii="Arial" w:hAnsi="Arial"/>
          <w:b/>
          <w:bCs/>
          <w:sz w:val="32"/>
        </w:rPr>
        <w:t xml:space="preserve">Industrial </w:t>
      </w:r>
      <w:r w:rsidRPr="00AC3BA9">
        <w:rPr>
          <w:rFonts w:ascii="Arial" w:hAnsi="Arial"/>
          <w:b/>
          <w:bCs/>
          <w:sz w:val="32"/>
        </w:rPr>
        <w:t>development zones drive KwaZulu-Natal fixed investment</w:t>
      </w:r>
      <w:r w:rsidRPr="00AC3BA9">
        <w:rPr>
          <w:rFonts w:ascii="Arial" w:hAnsi="Arial"/>
          <w:b/>
          <w:sz w:val="32"/>
          <w:lang w:val="en-ZA"/>
        </w:rPr>
        <w:t xml:space="preserve"> </w:t>
      </w:r>
      <w:r w:rsidR="003F0303" w:rsidRPr="003F0303">
        <w:rPr>
          <w:rFonts w:ascii="Arial" w:hAnsi="Arial"/>
          <w:b/>
          <w:sz w:val="32"/>
          <w:lang w:val="en-US"/>
        </w:rPr>
        <w:br/>
      </w:r>
      <w:r w:rsidRPr="00AC3BA9">
        <w:rPr>
          <w:noProof/>
          <w:lang w:val="en-ZA" w:eastAsia="en-ZA"/>
        </w:rPr>
        <w:drawing>
          <wp:inline distT="0" distB="0" distL="0" distR="0" wp14:anchorId="08BE9C6C" wp14:editId="13839F6C">
            <wp:extent cx="6127628" cy="39116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5227" cy="3910068"/>
                    </a:xfrm>
                    <a:prstGeom prst="rect">
                      <a:avLst/>
                    </a:prstGeom>
                    <a:noFill/>
                    <a:ln>
                      <a:noFill/>
                    </a:ln>
                  </pic:spPr>
                </pic:pic>
              </a:graphicData>
            </a:graphic>
          </wp:inline>
        </w:drawing>
      </w:r>
    </w:p>
    <w:p w:rsidR="003453B9" w:rsidRPr="003E0B54" w:rsidRDefault="003453B9" w:rsidP="00E45A38">
      <w:pPr>
        <w:rPr>
          <w:rFonts w:ascii="Arial" w:hAnsi="Arial"/>
          <w:b/>
          <w:sz w:val="32"/>
        </w:rPr>
      </w:pPr>
    </w:p>
    <w:p w:rsidR="00AC3BA9" w:rsidRPr="00AC3BA9" w:rsidRDefault="003B14B1" w:rsidP="00AC3BA9">
      <w:pPr>
        <w:rPr>
          <w:rFonts w:ascii="Arial" w:hAnsi="Arial"/>
          <w:szCs w:val="20"/>
        </w:rPr>
      </w:pPr>
      <w:r w:rsidRPr="003B14B1">
        <w:rPr>
          <w:rFonts w:ascii="Arial" w:hAnsi="Arial"/>
          <w:szCs w:val="20"/>
        </w:rPr>
        <w:t xml:space="preserve">Fixed </w:t>
      </w:r>
      <w:r w:rsidR="00AC3BA9" w:rsidRPr="00AC3BA9">
        <w:rPr>
          <w:rFonts w:ascii="Arial" w:hAnsi="Arial"/>
          <w:szCs w:val="20"/>
        </w:rPr>
        <w:t xml:space="preserve">investment in KwaZulu-Natal strengthened towards the end of 2014 as some big industrial development projects started and many small businesses spent money on equipment. The total KwaZulu-Natal investment monitor, as compiled by Mike Schüssler of Economists.co.za,  increased 2.7% year-on-year, the third month of growth, and was up 6.8% on a quarter-to-quarter basis.  </w:t>
      </w:r>
    </w:p>
    <w:p w:rsidR="00AC3BA9" w:rsidRPr="00AC3BA9" w:rsidRDefault="00AC3BA9" w:rsidP="00AC3BA9">
      <w:pPr>
        <w:rPr>
          <w:rFonts w:ascii="Arial" w:hAnsi="Arial"/>
          <w:szCs w:val="20"/>
        </w:rPr>
      </w:pPr>
    </w:p>
    <w:p w:rsidR="00AC3BA9" w:rsidRPr="00AC3BA9" w:rsidRDefault="00AC3BA9" w:rsidP="00AC3BA9">
      <w:pPr>
        <w:rPr>
          <w:rFonts w:ascii="Arial" w:hAnsi="Arial"/>
          <w:szCs w:val="20"/>
        </w:rPr>
      </w:pPr>
      <w:r w:rsidRPr="00AC3BA9">
        <w:rPr>
          <w:rFonts w:ascii="Arial" w:hAnsi="Arial"/>
          <w:szCs w:val="20"/>
        </w:rPr>
        <w:t>The scope of projects like the Dube Tradeport at the King Shaka International Airport and the Department of Trade and Industry's Industrial Development Zone near the Richards Bay port means that the growth in investment is set to continue into 2015.  Samsung Electronics is one of the companies which recently opened a television manufacturing plant for the local consumer market at the Dube Tradeport and has committed to a total investment of $20 million by the end of 2018,  which could help create 5 000 direct and 20 000 indirect jobs.</w:t>
      </w:r>
    </w:p>
    <w:p w:rsidR="00AC3BA9" w:rsidRPr="00AC3BA9" w:rsidRDefault="00AC3BA9" w:rsidP="00AC3BA9">
      <w:pPr>
        <w:rPr>
          <w:rFonts w:ascii="Arial" w:hAnsi="Arial"/>
          <w:szCs w:val="20"/>
        </w:rPr>
      </w:pPr>
      <w:r w:rsidRPr="00AC3BA9">
        <w:rPr>
          <w:rFonts w:ascii="Arial" w:hAnsi="Arial"/>
          <w:szCs w:val="20"/>
        </w:rPr>
        <w:t>At the Richards Bay IDZ, 68 hectares of land should have services and infrastructure by July to attract investors.  The first three prospective investors which signed up with the IDZ, can invest R4.5 billion in the area.</w:t>
      </w:r>
    </w:p>
    <w:p w:rsidR="00AC3BA9" w:rsidRPr="00AC3BA9" w:rsidRDefault="00AC3BA9" w:rsidP="00AC3BA9">
      <w:pPr>
        <w:rPr>
          <w:rFonts w:ascii="Arial" w:hAnsi="Arial"/>
          <w:szCs w:val="20"/>
        </w:rPr>
      </w:pPr>
    </w:p>
    <w:p w:rsidR="00AC3BA9" w:rsidRPr="00AC3BA9" w:rsidRDefault="00AC3BA9" w:rsidP="00AC3BA9">
      <w:pPr>
        <w:rPr>
          <w:rFonts w:ascii="Arial" w:hAnsi="Arial"/>
          <w:b/>
          <w:szCs w:val="20"/>
        </w:rPr>
      </w:pPr>
      <w:r w:rsidRPr="00AC3BA9">
        <w:rPr>
          <w:rFonts w:ascii="Arial" w:hAnsi="Arial"/>
          <w:b/>
          <w:szCs w:val="20"/>
        </w:rPr>
        <w:lastRenderedPageBreak/>
        <w:t>Transport equipment boosted by local projects</w:t>
      </w:r>
    </w:p>
    <w:p w:rsidR="00AC3BA9" w:rsidRPr="00AC3BA9" w:rsidRDefault="00AC3BA9" w:rsidP="00AC3BA9">
      <w:pPr>
        <w:rPr>
          <w:rFonts w:ascii="Arial" w:hAnsi="Arial"/>
          <w:szCs w:val="20"/>
        </w:rPr>
      </w:pPr>
      <w:r w:rsidRPr="00AC3BA9">
        <w:rPr>
          <w:rFonts w:ascii="Arial" w:hAnsi="Arial"/>
          <w:szCs w:val="20"/>
        </w:rPr>
        <w:t>With both these development projects near the province's main transport hubs, investment in transport equipment is performing strongly and grew by 16.3% year-on-year. The growth was broad-based as investment in land transport equipment was up 8.5% and purchases of ship and airplanes increased by 40.5%.</w:t>
      </w:r>
    </w:p>
    <w:p w:rsidR="00AC3BA9" w:rsidRPr="00AC3BA9" w:rsidRDefault="00AC3BA9" w:rsidP="00AC3BA9">
      <w:pPr>
        <w:rPr>
          <w:rFonts w:ascii="Arial" w:hAnsi="Arial"/>
          <w:szCs w:val="20"/>
        </w:rPr>
      </w:pPr>
      <w:r w:rsidRPr="00AC3BA9">
        <w:rPr>
          <w:rFonts w:ascii="Arial" w:hAnsi="Arial"/>
          <w:szCs w:val="20"/>
        </w:rPr>
        <w:t xml:space="preserve">In the land transport category, light commercial vehicles, which include bakkies, increased by 23.6% and investment in medium commercial vehicles like small trucks, by 3.6%. This shows some hope for small and medium-sized businesses as these operations seem to be willing to buy assets. While some of the increases in small business activity might be seasonal, it is very positive for the province's economy. </w:t>
      </w:r>
    </w:p>
    <w:p w:rsidR="00AC3BA9" w:rsidRPr="00AC3BA9" w:rsidRDefault="00AC3BA9" w:rsidP="00AC3BA9">
      <w:pPr>
        <w:rPr>
          <w:rFonts w:ascii="Arial" w:hAnsi="Arial"/>
          <w:szCs w:val="20"/>
        </w:rPr>
      </w:pPr>
      <w:r w:rsidRPr="00AC3BA9">
        <w:rPr>
          <w:rFonts w:ascii="Arial" w:hAnsi="Arial"/>
          <w:szCs w:val="20"/>
        </w:rPr>
        <w:t xml:space="preserve">Bus purchases have been growing strongly for several months and were up 92. 3% in December as some transport companies continued to expand and upgrade their fleets. </w:t>
      </w:r>
    </w:p>
    <w:p w:rsidR="00AC3BA9" w:rsidRPr="00AC3BA9" w:rsidRDefault="00AC3BA9" w:rsidP="00AC3BA9">
      <w:pPr>
        <w:rPr>
          <w:rFonts w:ascii="Arial" w:hAnsi="Arial"/>
          <w:b/>
          <w:szCs w:val="20"/>
        </w:rPr>
      </w:pPr>
    </w:p>
    <w:p w:rsidR="00AC3BA9" w:rsidRPr="00AC3BA9" w:rsidRDefault="00AC3BA9" w:rsidP="00AC3BA9">
      <w:pPr>
        <w:rPr>
          <w:rFonts w:ascii="Arial" w:hAnsi="Arial"/>
          <w:b/>
          <w:szCs w:val="20"/>
        </w:rPr>
      </w:pPr>
      <w:r w:rsidRPr="00AC3BA9">
        <w:rPr>
          <w:rFonts w:ascii="Arial" w:hAnsi="Arial"/>
          <w:b/>
          <w:szCs w:val="20"/>
        </w:rPr>
        <w:t>Buildings investment supported by non-residential and commercial buildings</w:t>
      </w:r>
    </w:p>
    <w:p w:rsidR="00AC3BA9" w:rsidRPr="00AC3BA9" w:rsidRDefault="00AC3BA9" w:rsidP="00AC3BA9">
      <w:pPr>
        <w:rPr>
          <w:rFonts w:ascii="Arial" w:hAnsi="Arial"/>
          <w:szCs w:val="20"/>
        </w:rPr>
      </w:pPr>
      <w:r w:rsidRPr="00AC3BA9">
        <w:rPr>
          <w:rFonts w:ascii="Arial" w:hAnsi="Arial"/>
          <w:szCs w:val="20"/>
        </w:rPr>
        <w:t xml:space="preserve">The drivers of the buildings category also show that some businesses are indeed spending money despite a seemingly difficult trading environment. Investment in buildings increased 3.5% year-on-year and 14.1% quarter-on-quarter. The growth was mainly due to a 40.5% increase in non-residential or commercial buildings, and specifically increases in shopping space and industrial warehouse space that was completed. These warehouses are not only for big retailers or manufacturers, but can also be for smaller businesses looking for new space. </w:t>
      </w:r>
    </w:p>
    <w:p w:rsidR="00AC3BA9" w:rsidRPr="00AC3BA9" w:rsidRDefault="00AC3BA9" w:rsidP="00AC3BA9">
      <w:pPr>
        <w:rPr>
          <w:rFonts w:ascii="Arial" w:hAnsi="Arial"/>
          <w:szCs w:val="20"/>
        </w:rPr>
      </w:pPr>
      <w:r w:rsidRPr="00AC3BA9">
        <w:rPr>
          <w:rFonts w:ascii="Arial" w:hAnsi="Arial"/>
          <w:szCs w:val="20"/>
        </w:rPr>
        <w:t>Lumber decreased for the third month in a row, this time by 3.8%, and residential buildings completed declined by 15.8%, the seventh consecutive negative month. While many businesses seem to be taking the step investing in fixed assets to expand or continue their operations, the confidence level among consumers and possible house buyers is still weak.</w:t>
      </w:r>
    </w:p>
    <w:p w:rsidR="00AC3BA9" w:rsidRPr="00AC3BA9" w:rsidRDefault="00AC3BA9" w:rsidP="00AC3BA9">
      <w:pPr>
        <w:rPr>
          <w:rFonts w:ascii="Arial" w:hAnsi="Arial"/>
          <w:szCs w:val="20"/>
        </w:rPr>
      </w:pPr>
    </w:p>
    <w:p w:rsidR="00AC3BA9" w:rsidRPr="00AC3BA9" w:rsidRDefault="00AC3BA9" w:rsidP="00AC3BA9">
      <w:pPr>
        <w:rPr>
          <w:rFonts w:ascii="Arial" w:hAnsi="Arial"/>
          <w:b/>
          <w:szCs w:val="20"/>
        </w:rPr>
      </w:pPr>
      <w:r w:rsidRPr="00AC3BA9">
        <w:rPr>
          <w:rFonts w:ascii="Arial" w:hAnsi="Arial"/>
          <w:b/>
          <w:szCs w:val="20"/>
        </w:rPr>
        <w:t>Civil construction down</w:t>
      </w:r>
    </w:p>
    <w:p w:rsidR="00AC3BA9" w:rsidRPr="00AC3BA9" w:rsidRDefault="00AC3BA9" w:rsidP="00AC3BA9">
      <w:pPr>
        <w:rPr>
          <w:rFonts w:ascii="Arial" w:hAnsi="Arial"/>
          <w:szCs w:val="20"/>
        </w:rPr>
      </w:pPr>
      <w:r w:rsidRPr="00AC3BA9">
        <w:rPr>
          <w:rFonts w:ascii="Arial" w:hAnsi="Arial"/>
          <w:szCs w:val="20"/>
        </w:rPr>
        <w:t xml:space="preserve">The confidence seen in the commercial property space is not evident in the civil construction industry. The index was negative after two months of growth and declined 0.6% year-on-year.  Quarter-on-quarter investment in civil construction increased by 7.4%, even as construction usually slows down toward the end of the year. </w:t>
      </w:r>
    </w:p>
    <w:p w:rsidR="00AC3BA9" w:rsidRPr="00AC3BA9" w:rsidRDefault="00AC3BA9" w:rsidP="00AC3BA9">
      <w:pPr>
        <w:rPr>
          <w:rFonts w:ascii="Arial" w:hAnsi="Arial"/>
          <w:szCs w:val="20"/>
        </w:rPr>
      </w:pPr>
      <w:r w:rsidRPr="00AC3BA9">
        <w:rPr>
          <w:rFonts w:ascii="Arial" w:hAnsi="Arial"/>
          <w:szCs w:val="20"/>
        </w:rPr>
        <w:t>Imported civil construction material grew 0.5%, the slowest pace in 39 months, and structural steel was down 8.7%.  Roadworks increased by 0.6%, which was not nearly enough the support the index's year-on-year growth number.</w:t>
      </w:r>
    </w:p>
    <w:p w:rsidR="00AC3BA9" w:rsidRPr="00AC3BA9" w:rsidRDefault="00AC3BA9" w:rsidP="00AC3BA9">
      <w:pPr>
        <w:rPr>
          <w:rFonts w:ascii="Arial" w:hAnsi="Arial"/>
          <w:szCs w:val="20"/>
        </w:rPr>
      </w:pPr>
    </w:p>
    <w:p w:rsidR="00AC3BA9" w:rsidRPr="00AC3BA9" w:rsidRDefault="00AC3BA9" w:rsidP="00AC3BA9">
      <w:pPr>
        <w:rPr>
          <w:rFonts w:ascii="Arial" w:hAnsi="Arial"/>
          <w:b/>
          <w:szCs w:val="20"/>
        </w:rPr>
      </w:pPr>
      <w:r w:rsidRPr="00AC3BA9">
        <w:rPr>
          <w:rFonts w:ascii="Arial" w:hAnsi="Arial"/>
          <w:b/>
          <w:szCs w:val="20"/>
        </w:rPr>
        <w:t>Transfers investment surprises with double-digit growth</w:t>
      </w:r>
    </w:p>
    <w:p w:rsidR="00AC3BA9" w:rsidRPr="00AC3BA9" w:rsidRDefault="00AC3BA9" w:rsidP="00AC3BA9">
      <w:pPr>
        <w:rPr>
          <w:rFonts w:ascii="Arial" w:hAnsi="Arial"/>
          <w:szCs w:val="20"/>
        </w:rPr>
      </w:pPr>
      <w:r w:rsidRPr="00AC3BA9">
        <w:rPr>
          <w:rFonts w:ascii="Arial" w:hAnsi="Arial"/>
          <w:szCs w:val="20"/>
        </w:rPr>
        <w:t xml:space="preserve">Investment in transfers grew 10.7% year-on-year, the first double-digit growth in more than two years. Quarter-on-quarter it was up 6.1%. The growth in transfers as usual follows the trends in the buildings index, although in this case only non-residential buildings were driving the index. The fact that houses completed declined and transfers increased could also indicate that people opt to rather buy existing houses than build new ones. </w:t>
      </w:r>
    </w:p>
    <w:p w:rsidR="00AC3BA9" w:rsidRPr="00AC3BA9" w:rsidRDefault="00AC3BA9" w:rsidP="00AC3BA9">
      <w:pPr>
        <w:rPr>
          <w:rFonts w:ascii="Arial" w:hAnsi="Arial"/>
          <w:szCs w:val="20"/>
        </w:rPr>
      </w:pPr>
    </w:p>
    <w:p w:rsidR="00AC3BA9" w:rsidRPr="00AC3BA9" w:rsidRDefault="00AC3BA9" w:rsidP="00AC3BA9">
      <w:pPr>
        <w:rPr>
          <w:rFonts w:ascii="Arial" w:hAnsi="Arial"/>
          <w:b/>
          <w:szCs w:val="20"/>
        </w:rPr>
      </w:pPr>
      <w:r w:rsidRPr="00AC3BA9">
        <w:rPr>
          <w:rFonts w:ascii="Arial" w:hAnsi="Arial"/>
          <w:b/>
          <w:szCs w:val="20"/>
        </w:rPr>
        <w:t>Machinery investment looking up</w:t>
      </w:r>
    </w:p>
    <w:p w:rsidR="00AC3BA9" w:rsidRPr="00AC3BA9" w:rsidRDefault="00AC3BA9" w:rsidP="00AC3BA9">
      <w:pPr>
        <w:rPr>
          <w:rFonts w:ascii="Arial" w:hAnsi="Arial"/>
          <w:szCs w:val="20"/>
        </w:rPr>
      </w:pPr>
      <w:r w:rsidRPr="00AC3BA9">
        <w:rPr>
          <w:rFonts w:ascii="Arial" w:hAnsi="Arial"/>
          <w:szCs w:val="20"/>
        </w:rPr>
        <w:t xml:space="preserve">Machinery investment surprised with year-on-year and quarter-on-quarter growth in December of 0.4% and 7.7% respectively. Although the rand started weakening after the middle of November and well into December, some </w:t>
      </w:r>
      <w:r w:rsidRPr="00AC3BA9">
        <w:rPr>
          <w:rFonts w:ascii="Arial" w:hAnsi="Arial"/>
          <w:szCs w:val="20"/>
        </w:rPr>
        <w:lastRenderedPageBreak/>
        <w:t>businesses were willing to import equipment. This may be because they expected the rand to weaken even further and wanted to make their purchases before the imports got even more expensive.  For some, it may simply have been time to replace and upgrade their equipment, even if it was pricy. If a business has not invested in machinery for some time, December is probably the logical time to do so as it can close its doors for business over the festive season and properly asses all its equipment.</w:t>
      </w:r>
    </w:p>
    <w:p w:rsidR="00AC3BA9" w:rsidRPr="00AC3BA9" w:rsidRDefault="00AC3BA9" w:rsidP="00AC3BA9">
      <w:pPr>
        <w:rPr>
          <w:rFonts w:ascii="Arial" w:hAnsi="Arial"/>
          <w:szCs w:val="20"/>
        </w:rPr>
      </w:pPr>
    </w:p>
    <w:p w:rsidR="00AC3BA9" w:rsidRPr="00AC3BA9" w:rsidRDefault="00AC3BA9" w:rsidP="00AC3BA9">
      <w:pPr>
        <w:rPr>
          <w:rFonts w:ascii="Arial" w:hAnsi="Arial"/>
          <w:b/>
          <w:szCs w:val="20"/>
        </w:rPr>
      </w:pPr>
      <w:r w:rsidRPr="00AC3BA9">
        <w:rPr>
          <w:rFonts w:ascii="Arial" w:hAnsi="Arial"/>
          <w:b/>
          <w:szCs w:val="20"/>
        </w:rPr>
        <w:t>ICT equipment investment growth slowing down</w:t>
      </w:r>
    </w:p>
    <w:p w:rsidR="00AC3BA9" w:rsidRPr="00AC3BA9" w:rsidRDefault="00AC3BA9" w:rsidP="00AC3BA9">
      <w:pPr>
        <w:rPr>
          <w:rFonts w:ascii="Arial" w:hAnsi="Arial"/>
          <w:szCs w:val="20"/>
        </w:rPr>
      </w:pPr>
      <w:r w:rsidRPr="00AC3BA9">
        <w:rPr>
          <w:rFonts w:ascii="Arial" w:hAnsi="Arial"/>
          <w:szCs w:val="20"/>
        </w:rPr>
        <w:t>Investment in ICT equipment in KwaZulu-Natal grew 1.3% year-on-year, a far cry from the double-digit growth of 12 months before. Quarter-on-quarter it was up 6.2%. ICT investment is often demand-driven and with no new gadgets recently hitting the market, the need for new infrastructure is not as urgent as a year ago. This does however not mean that consumers and businesses are not buying ICT equipment anymore, the purchases are just at a somewhat slower pace than before.</w:t>
      </w:r>
    </w:p>
    <w:p w:rsidR="00DF7907" w:rsidRDefault="00DF7907" w:rsidP="00AC3BA9">
      <w:pPr>
        <w:rPr>
          <w:rFonts w:ascii="Arial" w:hAnsi="Arial"/>
          <w:szCs w:val="20"/>
        </w:rPr>
      </w:pPr>
    </w:p>
    <w:p w:rsidR="005F50AD" w:rsidRDefault="005F50AD" w:rsidP="005F50AD">
      <w:pPr>
        <w:rPr>
          <w:rFonts w:ascii="Arial" w:hAnsi="Arial"/>
          <w:szCs w:val="20"/>
        </w:rPr>
      </w:pPr>
    </w:p>
    <w:p w:rsidR="005F50AD" w:rsidRPr="00DF7907" w:rsidRDefault="005F50AD" w:rsidP="005F50AD">
      <w:pPr>
        <w:rPr>
          <w:rFonts w:ascii="Arial" w:hAnsi="Arial"/>
          <w:szCs w:val="20"/>
        </w:rPr>
      </w:pPr>
    </w:p>
    <w:p w:rsidR="00454BB1" w:rsidRPr="00235EF0" w:rsidRDefault="007F7630" w:rsidP="00235EF0">
      <w:r w:rsidRPr="007F7630">
        <w:rPr>
          <w:rFonts w:ascii="Arial" w:hAnsi="Arial"/>
          <w:b/>
          <w:bCs/>
        </w:rPr>
        <w:t>Results Table</w:t>
      </w:r>
      <w:r>
        <w:rPr>
          <w:rFonts w:ascii="Arial" w:hAnsi="Arial"/>
          <w:b/>
          <w:bCs/>
        </w:rPr>
        <w:t>:</w:t>
      </w:r>
      <w:r w:rsidR="009123F8">
        <w:rPr>
          <w:rFonts w:ascii="Arial" w:hAnsi="Arial"/>
          <w:b/>
          <w:bCs/>
        </w:rPr>
        <w:t xml:space="preserve"> </w:t>
      </w:r>
      <w:r w:rsidR="00AC3BA9">
        <w:rPr>
          <w:rFonts w:ascii="Arial" w:hAnsi="Arial"/>
          <w:b/>
          <w:bCs/>
        </w:rPr>
        <w:t>December</w:t>
      </w:r>
      <w:r w:rsidR="003F0303">
        <w:rPr>
          <w:rFonts w:ascii="Arial" w:hAnsi="Arial"/>
          <w:b/>
          <w:bCs/>
        </w:rPr>
        <w:t xml:space="preserve"> </w:t>
      </w:r>
      <w:r w:rsidR="00B80087">
        <w:rPr>
          <w:rFonts w:ascii="Arial" w:hAnsi="Arial"/>
          <w:b/>
          <w:bCs/>
        </w:rPr>
        <w:t>2014</w:t>
      </w:r>
    </w:p>
    <w:p w:rsidR="00AA267D" w:rsidRDefault="00AA267D" w:rsidP="00AA267D">
      <w:pPr>
        <w:widowControl w:val="0"/>
        <w:overflowPunct w:val="0"/>
        <w:autoSpaceDE w:val="0"/>
        <w:autoSpaceDN w:val="0"/>
        <w:adjustRightInd w:val="0"/>
        <w:spacing w:line="240" w:lineRule="auto"/>
        <w:jc w:val="left"/>
        <w:rPr>
          <w:rFonts w:ascii="Arial" w:eastAsia="Times New Roman" w:hAnsi="Arial"/>
          <w:color w:val="auto"/>
          <w:kern w:val="28"/>
          <w:szCs w:val="20"/>
          <w:lang w:eastAsia="en-ZA"/>
        </w:rPr>
      </w:pPr>
    </w:p>
    <w:tbl>
      <w:tblPr>
        <w:tblW w:w="8320" w:type="dxa"/>
        <w:tblInd w:w="98" w:type="dxa"/>
        <w:tblLook w:val="04A0" w:firstRow="1" w:lastRow="0" w:firstColumn="1" w:lastColumn="0" w:noHBand="0" w:noVBand="1"/>
      </w:tblPr>
      <w:tblGrid>
        <w:gridCol w:w="3740"/>
        <w:gridCol w:w="2480"/>
        <w:gridCol w:w="2100"/>
      </w:tblGrid>
      <w:tr w:rsidR="00AC3BA9" w:rsidRPr="00AC3BA9" w:rsidTr="00AC3BA9">
        <w:trPr>
          <w:trHeight w:val="1215"/>
        </w:trPr>
        <w:tc>
          <w:tcPr>
            <w:tcW w:w="3740" w:type="dxa"/>
            <w:tcBorders>
              <w:top w:val="single" w:sz="8" w:space="0" w:color="auto"/>
              <w:left w:val="single" w:sz="8" w:space="0" w:color="auto"/>
              <w:bottom w:val="nil"/>
              <w:right w:val="single" w:sz="8" w:space="0" w:color="auto"/>
            </w:tcBorders>
            <w:shd w:val="clear" w:color="9BBB59" w:fill="9BBB59"/>
            <w:vAlign w:val="bottom"/>
            <w:hideMark/>
          </w:tcPr>
          <w:p w:rsidR="00AC3BA9" w:rsidRPr="00AC3BA9" w:rsidRDefault="00AC3BA9" w:rsidP="00AC3BA9">
            <w:pPr>
              <w:spacing w:line="240" w:lineRule="auto"/>
              <w:jc w:val="center"/>
              <w:rPr>
                <w:rFonts w:ascii="Arial" w:eastAsia="Times New Roman" w:hAnsi="Arial"/>
                <w:b/>
                <w:bCs/>
                <w:color w:val="auto"/>
                <w:sz w:val="24"/>
                <w:szCs w:val="24"/>
                <w:lang w:val="en-ZA" w:eastAsia="en-ZA"/>
              </w:rPr>
            </w:pPr>
            <w:r w:rsidRPr="00AC3BA9">
              <w:rPr>
                <w:rFonts w:ascii="Arial" w:eastAsia="Times New Roman" w:hAnsi="Arial"/>
                <w:b/>
                <w:bCs/>
                <w:color w:val="auto"/>
                <w:sz w:val="24"/>
                <w:szCs w:val="24"/>
                <w:lang w:val="en-ZA" w:eastAsia="en-ZA"/>
              </w:rPr>
              <w:t>Main and sub indices of the Kwa-Zulu Investment Monitor</w:t>
            </w:r>
          </w:p>
        </w:tc>
        <w:tc>
          <w:tcPr>
            <w:tcW w:w="2480" w:type="dxa"/>
            <w:tcBorders>
              <w:top w:val="single" w:sz="8" w:space="0" w:color="auto"/>
              <w:left w:val="single" w:sz="8" w:space="0" w:color="auto"/>
              <w:bottom w:val="nil"/>
              <w:right w:val="single" w:sz="8" w:space="0" w:color="auto"/>
            </w:tcBorders>
            <w:shd w:val="clear" w:color="9BBB59" w:fill="9BBB59"/>
            <w:vAlign w:val="bottom"/>
            <w:hideMark/>
          </w:tcPr>
          <w:p w:rsidR="00AC3BA9" w:rsidRPr="00AC3BA9" w:rsidRDefault="00AC3BA9" w:rsidP="00AC3BA9">
            <w:pPr>
              <w:spacing w:line="240" w:lineRule="auto"/>
              <w:jc w:val="center"/>
              <w:rPr>
                <w:rFonts w:ascii="Arial" w:eastAsia="Times New Roman" w:hAnsi="Arial"/>
                <w:b/>
                <w:bCs/>
                <w:color w:val="auto"/>
                <w:sz w:val="24"/>
                <w:szCs w:val="24"/>
                <w:lang w:val="en-ZA" w:eastAsia="en-ZA"/>
              </w:rPr>
            </w:pPr>
            <w:r w:rsidRPr="00AC3BA9">
              <w:rPr>
                <w:rFonts w:ascii="Arial" w:eastAsia="Times New Roman" w:hAnsi="Arial"/>
                <w:b/>
                <w:bCs/>
                <w:color w:val="auto"/>
                <w:sz w:val="24"/>
                <w:szCs w:val="24"/>
                <w:lang w:val="en-ZA" w:eastAsia="en-ZA"/>
              </w:rPr>
              <w:t>% Change on a year ago</w:t>
            </w:r>
          </w:p>
        </w:tc>
        <w:tc>
          <w:tcPr>
            <w:tcW w:w="2100" w:type="dxa"/>
            <w:tcBorders>
              <w:top w:val="single" w:sz="8" w:space="0" w:color="auto"/>
              <w:left w:val="single" w:sz="8" w:space="0" w:color="auto"/>
              <w:bottom w:val="nil"/>
              <w:right w:val="single" w:sz="8" w:space="0" w:color="auto"/>
            </w:tcBorders>
            <w:shd w:val="clear" w:color="9BBB59" w:fill="9BBB59"/>
            <w:vAlign w:val="bottom"/>
            <w:hideMark/>
          </w:tcPr>
          <w:p w:rsidR="00AC3BA9" w:rsidRPr="00AC3BA9" w:rsidRDefault="00AC3BA9" w:rsidP="00AC3BA9">
            <w:pPr>
              <w:spacing w:line="240" w:lineRule="auto"/>
              <w:jc w:val="center"/>
              <w:rPr>
                <w:rFonts w:ascii="Arial" w:eastAsia="Times New Roman" w:hAnsi="Arial"/>
                <w:b/>
                <w:bCs/>
                <w:color w:val="auto"/>
                <w:sz w:val="24"/>
                <w:szCs w:val="24"/>
                <w:lang w:val="en-ZA" w:eastAsia="en-ZA"/>
              </w:rPr>
            </w:pPr>
            <w:r w:rsidRPr="00AC3BA9">
              <w:rPr>
                <w:rFonts w:ascii="Arial" w:eastAsia="Times New Roman" w:hAnsi="Arial"/>
                <w:b/>
                <w:bCs/>
                <w:color w:val="auto"/>
                <w:sz w:val="24"/>
                <w:szCs w:val="24"/>
                <w:lang w:val="en-ZA" w:eastAsia="en-ZA"/>
              </w:rPr>
              <w:t>% Change from a  quarter ago</w:t>
            </w:r>
          </w:p>
        </w:tc>
      </w:tr>
      <w:tr w:rsidR="00AC3BA9" w:rsidRPr="00AC3BA9" w:rsidTr="00AC3BA9">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AC3BA9" w:rsidRPr="00AC3BA9" w:rsidRDefault="00AC3BA9" w:rsidP="00AC3BA9">
            <w:pPr>
              <w:spacing w:line="240" w:lineRule="auto"/>
              <w:jc w:val="left"/>
              <w:rPr>
                <w:rFonts w:ascii="Calibri" w:eastAsia="Times New Roman" w:hAnsi="Calibri" w:cs="Times New Roman"/>
                <w:b/>
                <w:bCs/>
                <w:color w:val="000000"/>
                <w:sz w:val="22"/>
                <w:szCs w:val="22"/>
                <w:lang w:val="en-ZA" w:eastAsia="en-ZA"/>
              </w:rPr>
            </w:pPr>
            <w:r w:rsidRPr="00AC3BA9">
              <w:rPr>
                <w:rFonts w:ascii="Calibri" w:eastAsia="Times New Roman" w:hAnsi="Calibri" w:cs="Times New Roman"/>
                <w:b/>
                <w:bCs/>
                <w:color w:val="000000"/>
                <w:sz w:val="22"/>
                <w:szCs w:val="22"/>
                <w:lang w:val="en-ZA" w:eastAsia="en-ZA"/>
              </w:rPr>
              <w:t>Transport Equipment</w:t>
            </w:r>
          </w:p>
        </w:tc>
        <w:tc>
          <w:tcPr>
            <w:tcW w:w="2480" w:type="dxa"/>
            <w:tcBorders>
              <w:top w:val="single" w:sz="4" w:space="0" w:color="9BBB59"/>
              <w:left w:val="nil"/>
              <w:bottom w:val="nil"/>
              <w:right w:val="nil"/>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16.3%</w:t>
            </w:r>
          </w:p>
        </w:tc>
        <w:tc>
          <w:tcPr>
            <w:tcW w:w="2100" w:type="dxa"/>
            <w:tcBorders>
              <w:top w:val="single" w:sz="4" w:space="0" w:color="9BBB59"/>
              <w:left w:val="nil"/>
              <w:bottom w:val="nil"/>
              <w:right w:val="single" w:sz="4" w:space="0" w:color="9BBB59"/>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0.5%</w:t>
            </w:r>
          </w:p>
        </w:tc>
      </w:tr>
      <w:tr w:rsidR="00AC3BA9" w:rsidRPr="00AC3BA9" w:rsidTr="00AC3BA9">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AC3BA9" w:rsidRPr="00AC3BA9" w:rsidRDefault="00AC3BA9" w:rsidP="00AC3BA9">
            <w:pPr>
              <w:spacing w:line="240" w:lineRule="auto"/>
              <w:jc w:val="left"/>
              <w:rPr>
                <w:rFonts w:ascii="Calibri" w:eastAsia="Times New Roman" w:hAnsi="Calibri" w:cs="Times New Roman"/>
                <w:b/>
                <w:bCs/>
                <w:color w:val="000000"/>
                <w:sz w:val="22"/>
                <w:szCs w:val="22"/>
                <w:lang w:val="en-ZA" w:eastAsia="en-ZA"/>
              </w:rPr>
            </w:pPr>
            <w:r w:rsidRPr="00AC3BA9">
              <w:rPr>
                <w:rFonts w:ascii="Calibri" w:eastAsia="Times New Roman" w:hAnsi="Calibri" w:cs="Times New Roman"/>
                <w:b/>
                <w:bCs/>
                <w:color w:val="000000"/>
                <w:sz w:val="22"/>
                <w:szCs w:val="22"/>
                <w:lang w:val="en-ZA" w:eastAsia="en-ZA"/>
              </w:rPr>
              <w:t>Buildings</w:t>
            </w:r>
          </w:p>
        </w:tc>
        <w:tc>
          <w:tcPr>
            <w:tcW w:w="2480" w:type="dxa"/>
            <w:tcBorders>
              <w:top w:val="single" w:sz="4" w:space="0" w:color="9BBB59"/>
              <w:left w:val="nil"/>
              <w:bottom w:val="nil"/>
              <w:right w:val="nil"/>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3.5%</w:t>
            </w:r>
          </w:p>
        </w:tc>
        <w:tc>
          <w:tcPr>
            <w:tcW w:w="2100" w:type="dxa"/>
            <w:tcBorders>
              <w:top w:val="single" w:sz="4" w:space="0" w:color="9BBB59"/>
              <w:left w:val="nil"/>
              <w:bottom w:val="nil"/>
              <w:right w:val="single" w:sz="4" w:space="0" w:color="9BBB59"/>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14.1%</w:t>
            </w:r>
          </w:p>
        </w:tc>
      </w:tr>
      <w:tr w:rsidR="00AC3BA9" w:rsidRPr="00AC3BA9" w:rsidTr="00AC3BA9">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AC3BA9" w:rsidRPr="00AC3BA9" w:rsidRDefault="00AC3BA9" w:rsidP="00AC3BA9">
            <w:pPr>
              <w:spacing w:line="240" w:lineRule="auto"/>
              <w:jc w:val="left"/>
              <w:rPr>
                <w:rFonts w:ascii="Calibri" w:eastAsia="Times New Roman" w:hAnsi="Calibri" w:cs="Times New Roman"/>
                <w:b/>
                <w:bCs/>
                <w:color w:val="000000"/>
                <w:sz w:val="22"/>
                <w:szCs w:val="22"/>
                <w:lang w:val="en-ZA" w:eastAsia="en-ZA"/>
              </w:rPr>
            </w:pPr>
            <w:r w:rsidRPr="00AC3BA9">
              <w:rPr>
                <w:rFonts w:ascii="Calibri" w:eastAsia="Times New Roman" w:hAnsi="Calibri" w:cs="Times New Roman"/>
                <w:b/>
                <w:bCs/>
                <w:color w:val="000000"/>
                <w:sz w:val="22"/>
                <w:szCs w:val="22"/>
                <w:lang w:val="en-ZA" w:eastAsia="en-ZA"/>
              </w:rPr>
              <w:t>Civil Construction</w:t>
            </w:r>
          </w:p>
        </w:tc>
        <w:tc>
          <w:tcPr>
            <w:tcW w:w="2480" w:type="dxa"/>
            <w:tcBorders>
              <w:top w:val="single" w:sz="4" w:space="0" w:color="9BBB59"/>
              <w:left w:val="nil"/>
              <w:bottom w:val="nil"/>
              <w:right w:val="nil"/>
            </w:tcBorders>
            <w:shd w:val="clear" w:color="000000" w:fill="FF000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-0.6%</w:t>
            </w:r>
          </w:p>
        </w:tc>
        <w:tc>
          <w:tcPr>
            <w:tcW w:w="2100" w:type="dxa"/>
            <w:tcBorders>
              <w:top w:val="single" w:sz="4" w:space="0" w:color="9BBB59"/>
              <w:left w:val="nil"/>
              <w:bottom w:val="nil"/>
              <w:right w:val="single" w:sz="4" w:space="0" w:color="9BBB59"/>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7.4%</w:t>
            </w:r>
          </w:p>
        </w:tc>
      </w:tr>
      <w:tr w:rsidR="00AC3BA9" w:rsidRPr="00AC3BA9" w:rsidTr="00AC3BA9">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AC3BA9" w:rsidRPr="00AC3BA9" w:rsidRDefault="00AC3BA9" w:rsidP="00AC3BA9">
            <w:pPr>
              <w:spacing w:line="240" w:lineRule="auto"/>
              <w:jc w:val="left"/>
              <w:rPr>
                <w:rFonts w:ascii="Calibri" w:eastAsia="Times New Roman" w:hAnsi="Calibri" w:cs="Times New Roman"/>
                <w:b/>
                <w:bCs/>
                <w:color w:val="000000"/>
                <w:sz w:val="22"/>
                <w:szCs w:val="22"/>
                <w:lang w:val="en-ZA" w:eastAsia="en-ZA"/>
              </w:rPr>
            </w:pPr>
            <w:r w:rsidRPr="00AC3BA9">
              <w:rPr>
                <w:rFonts w:ascii="Calibri" w:eastAsia="Times New Roman" w:hAnsi="Calibri" w:cs="Times New Roman"/>
                <w:b/>
                <w:bCs/>
                <w:color w:val="000000"/>
                <w:sz w:val="22"/>
                <w:szCs w:val="22"/>
                <w:lang w:val="en-ZA" w:eastAsia="en-ZA"/>
              </w:rPr>
              <w:t>Machinery</w:t>
            </w:r>
          </w:p>
        </w:tc>
        <w:tc>
          <w:tcPr>
            <w:tcW w:w="2480" w:type="dxa"/>
            <w:tcBorders>
              <w:top w:val="single" w:sz="4" w:space="0" w:color="9BBB59"/>
              <w:left w:val="nil"/>
              <w:bottom w:val="nil"/>
              <w:right w:val="nil"/>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0.4%</w:t>
            </w:r>
          </w:p>
        </w:tc>
        <w:tc>
          <w:tcPr>
            <w:tcW w:w="2100" w:type="dxa"/>
            <w:tcBorders>
              <w:top w:val="single" w:sz="4" w:space="0" w:color="9BBB59"/>
              <w:left w:val="nil"/>
              <w:bottom w:val="nil"/>
              <w:right w:val="single" w:sz="4" w:space="0" w:color="9BBB59"/>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7.7%</w:t>
            </w:r>
          </w:p>
        </w:tc>
      </w:tr>
      <w:tr w:rsidR="00AC3BA9" w:rsidRPr="00AC3BA9" w:rsidTr="00AC3BA9">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AC3BA9" w:rsidRPr="00AC3BA9" w:rsidRDefault="00AC3BA9" w:rsidP="00AC3BA9">
            <w:pPr>
              <w:spacing w:line="240" w:lineRule="auto"/>
              <w:jc w:val="left"/>
              <w:rPr>
                <w:rFonts w:ascii="Calibri" w:eastAsia="Times New Roman" w:hAnsi="Calibri" w:cs="Times New Roman"/>
                <w:b/>
                <w:bCs/>
                <w:color w:val="000000"/>
                <w:sz w:val="22"/>
                <w:szCs w:val="22"/>
                <w:lang w:val="en-ZA" w:eastAsia="en-ZA"/>
              </w:rPr>
            </w:pPr>
            <w:r w:rsidRPr="00AC3BA9">
              <w:rPr>
                <w:rFonts w:ascii="Calibri" w:eastAsia="Times New Roman" w:hAnsi="Calibri" w:cs="Times New Roman"/>
                <w:b/>
                <w:bCs/>
                <w:color w:val="000000"/>
                <w:sz w:val="22"/>
                <w:szCs w:val="22"/>
                <w:lang w:val="en-ZA" w:eastAsia="en-ZA"/>
              </w:rPr>
              <w:t>ICT Equipment</w:t>
            </w:r>
          </w:p>
        </w:tc>
        <w:tc>
          <w:tcPr>
            <w:tcW w:w="2480" w:type="dxa"/>
            <w:tcBorders>
              <w:top w:val="single" w:sz="4" w:space="0" w:color="9BBB59"/>
              <w:left w:val="nil"/>
              <w:bottom w:val="nil"/>
              <w:right w:val="nil"/>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1.3%</w:t>
            </w:r>
          </w:p>
        </w:tc>
        <w:tc>
          <w:tcPr>
            <w:tcW w:w="2100" w:type="dxa"/>
            <w:tcBorders>
              <w:top w:val="single" w:sz="4" w:space="0" w:color="9BBB59"/>
              <w:left w:val="nil"/>
              <w:bottom w:val="nil"/>
              <w:right w:val="single" w:sz="4" w:space="0" w:color="9BBB59"/>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6.2%</w:t>
            </w:r>
          </w:p>
        </w:tc>
      </w:tr>
      <w:tr w:rsidR="00AC3BA9" w:rsidRPr="00AC3BA9" w:rsidTr="00AC3BA9">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AC3BA9" w:rsidRPr="00AC3BA9" w:rsidRDefault="00AC3BA9" w:rsidP="00AC3BA9">
            <w:pPr>
              <w:spacing w:line="240" w:lineRule="auto"/>
              <w:jc w:val="left"/>
              <w:rPr>
                <w:rFonts w:ascii="Calibri" w:eastAsia="Times New Roman" w:hAnsi="Calibri" w:cs="Times New Roman"/>
                <w:b/>
                <w:bCs/>
                <w:color w:val="000000"/>
                <w:sz w:val="22"/>
                <w:szCs w:val="22"/>
                <w:lang w:val="en-ZA" w:eastAsia="en-ZA"/>
              </w:rPr>
            </w:pPr>
            <w:r w:rsidRPr="00AC3BA9">
              <w:rPr>
                <w:rFonts w:ascii="Calibri" w:eastAsia="Times New Roman" w:hAnsi="Calibri" w:cs="Times New Roman"/>
                <w:b/>
                <w:bCs/>
                <w:color w:val="000000"/>
                <w:sz w:val="22"/>
                <w:szCs w:val="22"/>
                <w:lang w:val="en-ZA" w:eastAsia="en-ZA"/>
              </w:rPr>
              <w:t>Transfers</w:t>
            </w:r>
          </w:p>
        </w:tc>
        <w:tc>
          <w:tcPr>
            <w:tcW w:w="2480" w:type="dxa"/>
            <w:tcBorders>
              <w:top w:val="single" w:sz="4" w:space="0" w:color="9BBB59"/>
              <w:left w:val="nil"/>
              <w:bottom w:val="nil"/>
              <w:right w:val="nil"/>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10.7%</w:t>
            </w:r>
          </w:p>
        </w:tc>
        <w:tc>
          <w:tcPr>
            <w:tcW w:w="2100" w:type="dxa"/>
            <w:tcBorders>
              <w:top w:val="single" w:sz="4" w:space="0" w:color="9BBB59"/>
              <w:left w:val="nil"/>
              <w:bottom w:val="nil"/>
              <w:right w:val="single" w:sz="4" w:space="0" w:color="9BBB59"/>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6.1%</w:t>
            </w:r>
          </w:p>
        </w:tc>
      </w:tr>
      <w:tr w:rsidR="00AC3BA9" w:rsidRPr="00AC3BA9" w:rsidTr="00AC3BA9">
        <w:trPr>
          <w:trHeight w:val="300"/>
        </w:trPr>
        <w:tc>
          <w:tcPr>
            <w:tcW w:w="3740" w:type="dxa"/>
            <w:tcBorders>
              <w:top w:val="single" w:sz="4" w:space="0" w:color="9BBB59"/>
              <w:left w:val="single" w:sz="4" w:space="0" w:color="9BBB59"/>
              <w:bottom w:val="single" w:sz="4" w:space="0" w:color="9BBB59"/>
              <w:right w:val="nil"/>
            </w:tcBorders>
            <w:shd w:val="clear" w:color="auto" w:fill="auto"/>
            <w:noWrap/>
            <w:vAlign w:val="bottom"/>
            <w:hideMark/>
          </w:tcPr>
          <w:p w:rsidR="00AC3BA9" w:rsidRPr="00AC3BA9" w:rsidRDefault="00AC3BA9" w:rsidP="00AC3BA9">
            <w:pPr>
              <w:spacing w:line="240" w:lineRule="auto"/>
              <w:jc w:val="left"/>
              <w:rPr>
                <w:rFonts w:ascii="Calibri" w:eastAsia="Times New Roman" w:hAnsi="Calibri" w:cs="Times New Roman"/>
                <w:b/>
                <w:bCs/>
                <w:color w:val="000000"/>
                <w:sz w:val="22"/>
                <w:szCs w:val="22"/>
                <w:lang w:val="en-ZA" w:eastAsia="en-ZA"/>
              </w:rPr>
            </w:pPr>
            <w:r w:rsidRPr="00AC3BA9">
              <w:rPr>
                <w:rFonts w:ascii="Calibri" w:eastAsia="Times New Roman" w:hAnsi="Calibri" w:cs="Times New Roman"/>
                <w:b/>
                <w:bCs/>
                <w:color w:val="000000"/>
                <w:sz w:val="22"/>
                <w:szCs w:val="22"/>
                <w:lang w:val="en-ZA" w:eastAsia="en-ZA"/>
              </w:rPr>
              <w:t>Total Investment Index</w:t>
            </w:r>
          </w:p>
        </w:tc>
        <w:tc>
          <w:tcPr>
            <w:tcW w:w="2480" w:type="dxa"/>
            <w:tcBorders>
              <w:top w:val="single" w:sz="4" w:space="0" w:color="9BBB59"/>
              <w:left w:val="nil"/>
              <w:bottom w:val="single" w:sz="4" w:space="0" w:color="9BBB59"/>
              <w:right w:val="nil"/>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2.7%</w:t>
            </w:r>
          </w:p>
        </w:tc>
        <w:tc>
          <w:tcPr>
            <w:tcW w:w="2100" w:type="dxa"/>
            <w:tcBorders>
              <w:top w:val="single" w:sz="4" w:space="0" w:color="9BBB59"/>
              <w:left w:val="nil"/>
              <w:bottom w:val="single" w:sz="4" w:space="0" w:color="9BBB59"/>
              <w:right w:val="single" w:sz="4" w:space="0" w:color="9BBB59"/>
            </w:tcBorders>
            <w:shd w:val="clear" w:color="000000" w:fill="00B050"/>
            <w:noWrap/>
            <w:vAlign w:val="bottom"/>
            <w:hideMark/>
          </w:tcPr>
          <w:p w:rsidR="00AC3BA9" w:rsidRPr="00AC3BA9" w:rsidRDefault="00AC3BA9" w:rsidP="00AC3BA9">
            <w:pPr>
              <w:spacing w:line="240" w:lineRule="auto"/>
              <w:jc w:val="right"/>
              <w:rPr>
                <w:rFonts w:ascii="Calibri" w:eastAsia="Times New Roman" w:hAnsi="Calibri" w:cs="Times New Roman"/>
                <w:color w:val="auto"/>
                <w:sz w:val="22"/>
                <w:szCs w:val="22"/>
                <w:lang w:val="en-ZA" w:eastAsia="en-ZA"/>
              </w:rPr>
            </w:pPr>
            <w:r w:rsidRPr="00AC3BA9">
              <w:rPr>
                <w:rFonts w:ascii="Calibri" w:eastAsia="Times New Roman" w:hAnsi="Calibri" w:cs="Times New Roman"/>
                <w:color w:val="auto"/>
                <w:sz w:val="22"/>
                <w:szCs w:val="22"/>
                <w:lang w:val="en-ZA" w:eastAsia="en-ZA"/>
              </w:rPr>
              <w:t>6.8%</w:t>
            </w:r>
          </w:p>
        </w:tc>
      </w:tr>
    </w:tbl>
    <w:p w:rsidR="00AA267D" w:rsidRPr="00AA267D" w:rsidRDefault="00AA267D" w:rsidP="00AA267D">
      <w:pPr>
        <w:widowControl w:val="0"/>
        <w:overflowPunct w:val="0"/>
        <w:autoSpaceDE w:val="0"/>
        <w:autoSpaceDN w:val="0"/>
        <w:adjustRightInd w:val="0"/>
        <w:spacing w:line="240" w:lineRule="auto"/>
        <w:jc w:val="left"/>
        <w:rPr>
          <w:rFonts w:ascii="Arial" w:eastAsia="Times New Roman" w:hAnsi="Arial"/>
          <w:color w:val="auto"/>
          <w:kern w:val="28"/>
          <w:szCs w:val="20"/>
          <w:lang w:eastAsia="en-ZA"/>
        </w:rPr>
      </w:pPr>
    </w:p>
    <w:sectPr w:rsidR="00AA267D" w:rsidRPr="00AA267D"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EDC" w:rsidRDefault="00976EDC" w:rsidP="005A53F9">
      <w:pPr>
        <w:spacing w:line="240" w:lineRule="auto"/>
      </w:pPr>
      <w:r>
        <w:separator/>
      </w:r>
    </w:p>
  </w:endnote>
  <w:endnote w:type="continuationSeparator" w:id="0">
    <w:p w:rsidR="00976EDC" w:rsidRDefault="00976EDC" w:rsidP="005A53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51F" w:rsidRDefault="007F7630">
    <w:pPr>
      <w:pStyle w:val="Footer"/>
    </w:pPr>
    <w:r>
      <w:rPr>
        <w:noProof/>
        <w:lang w:val="en-ZA" w:eastAsia="en-ZA"/>
      </w:rPr>
      <mc:AlternateContent>
        <mc:Choice Requires="wps">
          <w:drawing>
            <wp:anchor distT="0" distB="0" distL="114300" distR="114300" simplePos="0" relativeHeight="251660288" behindDoc="0" locked="0" layoutInCell="1" allowOverlap="1">
              <wp:simplePos x="0" y="0"/>
              <wp:positionH relativeFrom="column">
                <wp:posOffset>5180965</wp:posOffset>
              </wp:positionH>
              <wp:positionV relativeFrom="paragraph">
                <wp:posOffset>19050</wp:posOffset>
              </wp:positionV>
              <wp:extent cx="1939925" cy="1122045"/>
              <wp:effectExtent l="0" t="0" r="3810" b="190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925" cy="1122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07.95pt;margin-top:1.5pt;width:152.75pt;height:8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proofErr w:type="spellStart"/>
                    <w:r w:rsidRPr="009A05FE">
                      <w:rPr>
                        <w:rFonts w:eastAsia="Times New Roman" w:cs="Tahoma"/>
                        <w:color w:val="auto"/>
                        <w:sz w:val="16"/>
                        <w:szCs w:val="16"/>
                      </w:rPr>
                      <w:t>Kingsmead</w:t>
                    </w:r>
                    <w:proofErr w:type="spellEnd"/>
                    <w:r w:rsidRPr="009A05FE">
                      <w:rPr>
                        <w:rFonts w:eastAsia="Times New Roman" w:cs="Tahoma"/>
                        <w:color w:val="auto"/>
                        <w:sz w:val="16"/>
                        <w:szCs w:val="16"/>
                      </w:rPr>
                      <w:t xml:space="preserve"> Office Park</w:t>
                    </w:r>
                  </w:p>
                  <w:p w:rsidR="0078551F" w:rsidRPr="009A05FE" w:rsidRDefault="0078551F" w:rsidP="003D2C89">
                    <w:pPr>
                      <w:spacing w:line="240" w:lineRule="auto"/>
                      <w:jc w:val="left"/>
                      <w:rPr>
                        <w:rFonts w:eastAsia="Times New Roman" w:cs="Tahoma"/>
                        <w:color w:val="auto"/>
                        <w:sz w:val="16"/>
                        <w:szCs w:val="16"/>
                      </w:rPr>
                    </w:pPr>
                    <w:proofErr w:type="spellStart"/>
                    <w:r>
                      <w:rPr>
                        <w:rFonts w:eastAsia="Times New Roman" w:cs="Tahoma"/>
                        <w:color w:val="auto"/>
                        <w:sz w:val="16"/>
                        <w:szCs w:val="16"/>
                      </w:rPr>
                      <w:t>Kingsmead</w:t>
                    </w:r>
                    <w:proofErr w:type="spellEnd"/>
                    <w:r>
                      <w:rPr>
                        <w:rFonts w:eastAsia="Times New Roman" w:cs="Tahoma"/>
                        <w:color w:val="auto"/>
                        <w:sz w:val="16"/>
                        <w:szCs w:val="16"/>
                      </w:rPr>
                      <w:t xml:space="preserve">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mc:Fallback>
      </mc:AlternateContent>
    </w:r>
    <w:r>
      <w:rPr>
        <w:noProof/>
        <w:lang w:val="en-ZA" w:eastAsia="en-ZA"/>
      </w:rPr>
      <mc:AlternateContent>
        <mc:Choice Requires="wps">
          <w:drawing>
            <wp:anchor distT="0" distB="0" distL="114300" distR="114300" simplePos="0" relativeHeight="251659264" behindDoc="0" locked="0" layoutInCell="1" allowOverlap="1">
              <wp:simplePos x="0" y="0"/>
              <wp:positionH relativeFrom="column">
                <wp:posOffset>62865</wp:posOffset>
              </wp:positionH>
              <wp:positionV relativeFrom="paragraph">
                <wp:posOffset>19050</wp:posOffset>
              </wp:positionV>
              <wp:extent cx="1857375" cy="908685"/>
              <wp:effectExtent l="0" t="0" r="381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4.95pt;margin-top:1.5pt;width:146.25pt;height:7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mc:Fallback>
      </mc:AlternateContent>
    </w:r>
    <w:r>
      <w:rPr>
        <w:noProof/>
        <w:lang w:val="en-ZA" w:eastAsia="en-ZA"/>
      </w:rPr>
      <mc:AlternateContent>
        <mc:Choice Requires="wps">
          <w:drawing>
            <wp:anchor distT="0" distB="0" distL="114300" distR="114300" simplePos="0" relativeHeight="251658240" behindDoc="0" locked="0" layoutInCell="1" allowOverlap="1">
              <wp:simplePos x="0" y="0"/>
              <wp:positionH relativeFrom="column">
                <wp:posOffset>2668270</wp:posOffset>
              </wp:positionH>
              <wp:positionV relativeFrom="paragraph">
                <wp:posOffset>19050</wp:posOffset>
              </wp:positionV>
              <wp:extent cx="1968500" cy="962025"/>
              <wp:effectExtent l="1270" t="0" r="190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962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10.1pt;margin-top:1.5pt;width:155pt;height:7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51F" w:rsidRDefault="00785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EDC" w:rsidRDefault="00976EDC" w:rsidP="005A53F9">
      <w:pPr>
        <w:spacing w:line="240" w:lineRule="auto"/>
      </w:pPr>
      <w:r>
        <w:separator/>
      </w:r>
    </w:p>
  </w:footnote>
  <w:footnote w:type="continuationSeparator" w:id="0">
    <w:p w:rsidR="00976EDC" w:rsidRDefault="00976EDC" w:rsidP="005A53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51F" w:rsidRDefault="000D0C4B">
    <w:pPr>
      <w:pStyle w:val="Header"/>
    </w:pPr>
    <w:r>
      <w:rPr>
        <w:noProof/>
        <w:lang w:val="en-ZA" w:eastAsia="en-ZA"/>
      </w:rPr>
      <w:drawing>
        <wp:inline distT="0" distB="0" distL="0" distR="0">
          <wp:extent cx="2162755" cy="674105"/>
          <wp:effectExtent l="0" t="0" r="0" b="0"/>
          <wp:docPr id="9" name="Picture 9" descr="C:\Users\Economists\Desktop\Department 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onomists\Desktop\Department English.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62175" cy="673924"/>
                  </a:xfrm>
                  <a:prstGeom prst="rect">
                    <a:avLst/>
                  </a:prstGeom>
                  <a:noFill/>
                  <a:ln>
                    <a:noFill/>
                  </a:ln>
                </pic:spPr>
              </pic:pic>
            </a:graphicData>
          </a:graphic>
        </wp:inline>
      </w:drawing>
    </w:r>
    <w:r w:rsidR="0078551F">
      <w:t xml:space="preserve">     </w:t>
    </w:r>
    <w:r w:rsidR="0078551F" w:rsidRPr="005A53F9">
      <w:rPr>
        <w:noProof/>
        <w:lang w:val="en-ZA" w:eastAsia="en-ZA"/>
      </w:rPr>
      <w:drawing>
        <wp:inline distT="0" distB="0" distL="0" distR="0">
          <wp:extent cx="2417196" cy="675861"/>
          <wp:effectExtent l="0" t="0" r="254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418677" cy="676275"/>
                  </a:xfrm>
                  <a:prstGeom prst="rect">
                    <a:avLst/>
                  </a:prstGeom>
                  <a:noFill/>
                  <a:ln w="9525">
                    <a:noFill/>
                    <a:miter lim="800000"/>
                    <a:headEnd/>
                    <a:tailEnd/>
                  </a:ln>
                </pic:spPr>
              </pic:pic>
            </a:graphicData>
          </a:graphic>
        </wp:inline>
      </w:drawing>
    </w:r>
    <w:r w:rsidR="0078551F">
      <w:t xml:space="preserve">  </w:t>
    </w:r>
    <w:r w:rsidR="007C6691">
      <w:rPr>
        <w:noProof/>
        <w:lang w:val="en-ZA" w:eastAsia="en-ZA"/>
      </w:rPr>
      <w:drawing>
        <wp:inline distT="0" distB="0" distL="0" distR="0">
          <wp:extent cx="2186750" cy="516835"/>
          <wp:effectExtent l="0" t="0" r="4445" b="0"/>
          <wp:docPr id="1"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3"/>
                  <a:srcRect/>
                  <a:stretch>
                    <a:fillRect/>
                  </a:stretch>
                </pic:blipFill>
                <pic:spPr bwMode="auto">
                  <a:xfrm>
                    <a:off x="0" y="0"/>
                    <a:ext cx="2199947" cy="519954"/>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51F" w:rsidRDefault="0078551F">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BB1"/>
    <w:rsid w:val="00096E6A"/>
    <w:rsid w:val="000A2C75"/>
    <w:rsid w:val="000A346C"/>
    <w:rsid w:val="000C27C2"/>
    <w:rsid w:val="000D0C4B"/>
    <w:rsid w:val="000F6EDC"/>
    <w:rsid w:val="00104892"/>
    <w:rsid w:val="00106B8F"/>
    <w:rsid w:val="0012629B"/>
    <w:rsid w:val="0013750B"/>
    <w:rsid w:val="0014110B"/>
    <w:rsid w:val="00161F9C"/>
    <w:rsid w:val="00184712"/>
    <w:rsid w:val="001D677E"/>
    <w:rsid w:val="001E4052"/>
    <w:rsid w:val="0021035A"/>
    <w:rsid w:val="00235EF0"/>
    <w:rsid w:val="00266108"/>
    <w:rsid w:val="0026745A"/>
    <w:rsid w:val="00270E2B"/>
    <w:rsid w:val="00292CA5"/>
    <w:rsid w:val="0029510E"/>
    <w:rsid w:val="002A1CFB"/>
    <w:rsid w:val="002F340E"/>
    <w:rsid w:val="002F45A6"/>
    <w:rsid w:val="003453B9"/>
    <w:rsid w:val="00347488"/>
    <w:rsid w:val="0037012B"/>
    <w:rsid w:val="003B000F"/>
    <w:rsid w:val="003B0BDF"/>
    <w:rsid w:val="003B14B1"/>
    <w:rsid w:val="003C1263"/>
    <w:rsid w:val="003D2C89"/>
    <w:rsid w:val="003E5E94"/>
    <w:rsid w:val="003E7AB4"/>
    <w:rsid w:val="003F0303"/>
    <w:rsid w:val="003F2D00"/>
    <w:rsid w:val="004034D5"/>
    <w:rsid w:val="00416766"/>
    <w:rsid w:val="00451BA1"/>
    <w:rsid w:val="00454BB1"/>
    <w:rsid w:val="004E73F3"/>
    <w:rsid w:val="005320CC"/>
    <w:rsid w:val="00533EC8"/>
    <w:rsid w:val="0055432C"/>
    <w:rsid w:val="00560FC5"/>
    <w:rsid w:val="0058494E"/>
    <w:rsid w:val="005A53F9"/>
    <w:rsid w:val="005A556D"/>
    <w:rsid w:val="005E1A21"/>
    <w:rsid w:val="005F2B15"/>
    <w:rsid w:val="005F396D"/>
    <w:rsid w:val="005F43DA"/>
    <w:rsid w:val="005F50AD"/>
    <w:rsid w:val="00611AB2"/>
    <w:rsid w:val="00652CA5"/>
    <w:rsid w:val="00656738"/>
    <w:rsid w:val="00662636"/>
    <w:rsid w:val="00680206"/>
    <w:rsid w:val="00685C8D"/>
    <w:rsid w:val="0069663D"/>
    <w:rsid w:val="006A6E68"/>
    <w:rsid w:val="006C21FF"/>
    <w:rsid w:val="006C3022"/>
    <w:rsid w:val="006D1C90"/>
    <w:rsid w:val="006D41EB"/>
    <w:rsid w:val="00717F82"/>
    <w:rsid w:val="00726F5E"/>
    <w:rsid w:val="00756B58"/>
    <w:rsid w:val="007743C5"/>
    <w:rsid w:val="007746EC"/>
    <w:rsid w:val="0078551F"/>
    <w:rsid w:val="00787BAD"/>
    <w:rsid w:val="00794466"/>
    <w:rsid w:val="007B38A8"/>
    <w:rsid w:val="007B66FB"/>
    <w:rsid w:val="007C6691"/>
    <w:rsid w:val="007F3367"/>
    <w:rsid w:val="007F7630"/>
    <w:rsid w:val="008118BF"/>
    <w:rsid w:val="00837FA6"/>
    <w:rsid w:val="00850C05"/>
    <w:rsid w:val="00855F84"/>
    <w:rsid w:val="00860D7D"/>
    <w:rsid w:val="008734E5"/>
    <w:rsid w:val="00887C82"/>
    <w:rsid w:val="008C2F47"/>
    <w:rsid w:val="008C38FE"/>
    <w:rsid w:val="009123F8"/>
    <w:rsid w:val="009321BA"/>
    <w:rsid w:val="00946625"/>
    <w:rsid w:val="00950B0E"/>
    <w:rsid w:val="00976EDC"/>
    <w:rsid w:val="009B3288"/>
    <w:rsid w:val="009F4B73"/>
    <w:rsid w:val="00A27093"/>
    <w:rsid w:val="00A31FFD"/>
    <w:rsid w:val="00A326E8"/>
    <w:rsid w:val="00A415E3"/>
    <w:rsid w:val="00A62162"/>
    <w:rsid w:val="00A700CF"/>
    <w:rsid w:val="00A9007D"/>
    <w:rsid w:val="00AA267D"/>
    <w:rsid w:val="00AC3BA9"/>
    <w:rsid w:val="00AD1583"/>
    <w:rsid w:val="00AD6E54"/>
    <w:rsid w:val="00B0583C"/>
    <w:rsid w:val="00B12C09"/>
    <w:rsid w:val="00B63885"/>
    <w:rsid w:val="00B705F6"/>
    <w:rsid w:val="00B72457"/>
    <w:rsid w:val="00B80087"/>
    <w:rsid w:val="00B865C5"/>
    <w:rsid w:val="00B876D1"/>
    <w:rsid w:val="00B952A0"/>
    <w:rsid w:val="00BD3888"/>
    <w:rsid w:val="00C13014"/>
    <w:rsid w:val="00C17D4A"/>
    <w:rsid w:val="00C646B7"/>
    <w:rsid w:val="00C81368"/>
    <w:rsid w:val="00C9106D"/>
    <w:rsid w:val="00C94F75"/>
    <w:rsid w:val="00C976B4"/>
    <w:rsid w:val="00CA46F5"/>
    <w:rsid w:val="00CC5AD1"/>
    <w:rsid w:val="00CD2455"/>
    <w:rsid w:val="00CD298D"/>
    <w:rsid w:val="00CD39B4"/>
    <w:rsid w:val="00D04DFB"/>
    <w:rsid w:val="00D05FA7"/>
    <w:rsid w:val="00D07179"/>
    <w:rsid w:val="00D177BD"/>
    <w:rsid w:val="00D17DD5"/>
    <w:rsid w:val="00D42C88"/>
    <w:rsid w:val="00D531FD"/>
    <w:rsid w:val="00D86147"/>
    <w:rsid w:val="00DA0BE3"/>
    <w:rsid w:val="00DA3DB3"/>
    <w:rsid w:val="00DE082C"/>
    <w:rsid w:val="00DE6D49"/>
    <w:rsid w:val="00DE6F3D"/>
    <w:rsid w:val="00DF7907"/>
    <w:rsid w:val="00E04DE4"/>
    <w:rsid w:val="00E14D45"/>
    <w:rsid w:val="00E4336B"/>
    <w:rsid w:val="00E45A38"/>
    <w:rsid w:val="00E857F8"/>
    <w:rsid w:val="00E91A53"/>
    <w:rsid w:val="00EB6C11"/>
    <w:rsid w:val="00EC2FEE"/>
    <w:rsid w:val="00EF73C6"/>
    <w:rsid w:val="00F37AF9"/>
    <w:rsid w:val="00F37D2D"/>
    <w:rsid w:val="00F60399"/>
    <w:rsid w:val="00FB36A2"/>
    <w:rsid w:val="00FF3673"/>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93426">
      <w:bodyDiv w:val="1"/>
      <w:marLeft w:val="0"/>
      <w:marRight w:val="0"/>
      <w:marTop w:val="0"/>
      <w:marBottom w:val="0"/>
      <w:divBdr>
        <w:top w:val="none" w:sz="0" w:space="0" w:color="auto"/>
        <w:left w:val="none" w:sz="0" w:space="0" w:color="auto"/>
        <w:bottom w:val="none" w:sz="0" w:space="0" w:color="auto"/>
        <w:right w:val="none" w:sz="0" w:space="0" w:color="auto"/>
      </w:divBdr>
    </w:div>
    <w:div w:id="109206049">
      <w:bodyDiv w:val="1"/>
      <w:marLeft w:val="0"/>
      <w:marRight w:val="0"/>
      <w:marTop w:val="0"/>
      <w:marBottom w:val="0"/>
      <w:divBdr>
        <w:top w:val="none" w:sz="0" w:space="0" w:color="auto"/>
        <w:left w:val="none" w:sz="0" w:space="0" w:color="auto"/>
        <w:bottom w:val="none" w:sz="0" w:space="0" w:color="auto"/>
        <w:right w:val="none" w:sz="0" w:space="0" w:color="auto"/>
      </w:divBdr>
    </w:div>
    <w:div w:id="492795372">
      <w:bodyDiv w:val="1"/>
      <w:marLeft w:val="0"/>
      <w:marRight w:val="0"/>
      <w:marTop w:val="0"/>
      <w:marBottom w:val="0"/>
      <w:divBdr>
        <w:top w:val="none" w:sz="0" w:space="0" w:color="auto"/>
        <w:left w:val="none" w:sz="0" w:space="0" w:color="auto"/>
        <w:bottom w:val="none" w:sz="0" w:space="0" w:color="auto"/>
        <w:right w:val="none" w:sz="0" w:space="0" w:color="auto"/>
      </w:divBdr>
    </w:div>
    <w:div w:id="672030192">
      <w:bodyDiv w:val="1"/>
      <w:marLeft w:val="0"/>
      <w:marRight w:val="0"/>
      <w:marTop w:val="0"/>
      <w:marBottom w:val="0"/>
      <w:divBdr>
        <w:top w:val="none" w:sz="0" w:space="0" w:color="auto"/>
        <w:left w:val="none" w:sz="0" w:space="0" w:color="auto"/>
        <w:bottom w:val="none" w:sz="0" w:space="0" w:color="auto"/>
        <w:right w:val="none" w:sz="0" w:space="0" w:color="auto"/>
      </w:divBdr>
    </w:div>
    <w:div w:id="92788796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6367">
      <w:bodyDiv w:val="1"/>
      <w:marLeft w:val="0"/>
      <w:marRight w:val="0"/>
      <w:marTop w:val="0"/>
      <w:marBottom w:val="0"/>
      <w:divBdr>
        <w:top w:val="none" w:sz="0" w:space="0" w:color="auto"/>
        <w:left w:val="none" w:sz="0" w:space="0" w:color="auto"/>
        <w:bottom w:val="none" w:sz="0" w:space="0" w:color="auto"/>
        <w:right w:val="none" w:sz="0" w:space="0" w:color="auto"/>
      </w:divBdr>
    </w:div>
    <w:div w:id="1124887414">
      <w:bodyDiv w:val="1"/>
      <w:marLeft w:val="0"/>
      <w:marRight w:val="0"/>
      <w:marTop w:val="0"/>
      <w:marBottom w:val="0"/>
      <w:divBdr>
        <w:top w:val="none" w:sz="0" w:space="0" w:color="auto"/>
        <w:left w:val="none" w:sz="0" w:space="0" w:color="auto"/>
        <w:bottom w:val="none" w:sz="0" w:space="0" w:color="auto"/>
        <w:right w:val="none" w:sz="0" w:space="0" w:color="auto"/>
      </w:divBdr>
    </w:div>
    <w:div w:id="1151941932">
      <w:bodyDiv w:val="1"/>
      <w:marLeft w:val="0"/>
      <w:marRight w:val="0"/>
      <w:marTop w:val="0"/>
      <w:marBottom w:val="0"/>
      <w:divBdr>
        <w:top w:val="none" w:sz="0" w:space="0" w:color="auto"/>
        <w:left w:val="none" w:sz="0" w:space="0" w:color="auto"/>
        <w:bottom w:val="none" w:sz="0" w:space="0" w:color="auto"/>
        <w:right w:val="none" w:sz="0" w:space="0" w:color="auto"/>
      </w:divBdr>
    </w:div>
    <w:div w:id="1238588122">
      <w:bodyDiv w:val="1"/>
      <w:marLeft w:val="0"/>
      <w:marRight w:val="0"/>
      <w:marTop w:val="0"/>
      <w:marBottom w:val="0"/>
      <w:divBdr>
        <w:top w:val="none" w:sz="0" w:space="0" w:color="auto"/>
        <w:left w:val="none" w:sz="0" w:space="0" w:color="auto"/>
        <w:bottom w:val="none" w:sz="0" w:space="0" w:color="auto"/>
        <w:right w:val="none" w:sz="0" w:space="0" w:color="auto"/>
      </w:divBdr>
    </w:div>
    <w:div w:id="1419136910">
      <w:bodyDiv w:val="1"/>
      <w:marLeft w:val="0"/>
      <w:marRight w:val="0"/>
      <w:marTop w:val="0"/>
      <w:marBottom w:val="0"/>
      <w:divBdr>
        <w:top w:val="none" w:sz="0" w:space="0" w:color="auto"/>
        <w:left w:val="none" w:sz="0" w:space="0" w:color="auto"/>
        <w:bottom w:val="none" w:sz="0" w:space="0" w:color="auto"/>
        <w:right w:val="none" w:sz="0" w:space="0" w:color="auto"/>
      </w:divBdr>
    </w:div>
    <w:div w:id="1554654282">
      <w:bodyDiv w:val="1"/>
      <w:marLeft w:val="0"/>
      <w:marRight w:val="0"/>
      <w:marTop w:val="0"/>
      <w:marBottom w:val="0"/>
      <w:divBdr>
        <w:top w:val="none" w:sz="0" w:space="0" w:color="auto"/>
        <w:left w:val="none" w:sz="0" w:space="0" w:color="auto"/>
        <w:bottom w:val="none" w:sz="0" w:space="0" w:color="auto"/>
        <w:right w:val="none" w:sz="0" w:space="0" w:color="auto"/>
      </w:divBdr>
    </w:div>
    <w:div w:id="1684211715">
      <w:bodyDiv w:val="1"/>
      <w:marLeft w:val="0"/>
      <w:marRight w:val="0"/>
      <w:marTop w:val="0"/>
      <w:marBottom w:val="0"/>
      <w:divBdr>
        <w:top w:val="none" w:sz="0" w:space="0" w:color="auto"/>
        <w:left w:val="none" w:sz="0" w:space="0" w:color="auto"/>
        <w:bottom w:val="none" w:sz="0" w:space="0" w:color="auto"/>
        <w:right w:val="none" w:sz="0" w:space="0" w:color="auto"/>
      </w:divBdr>
    </w:div>
    <w:div w:id="1706980137">
      <w:bodyDiv w:val="1"/>
      <w:marLeft w:val="0"/>
      <w:marRight w:val="0"/>
      <w:marTop w:val="0"/>
      <w:marBottom w:val="0"/>
      <w:divBdr>
        <w:top w:val="none" w:sz="0" w:space="0" w:color="auto"/>
        <w:left w:val="none" w:sz="0" w:space="0" w:color="auto"/>
        <w:bottom w:val="none" w:sz="0" w:space="0" w:color="auto"/>
        <w:right w:val="none" w:sz="0" w:space="0" w:color="auto"/>
      </w:divBdr>
    </w:div>
    <w:div w:id="1761368538">
      <w:bodyDiv w:val="1"/>
      <w:marLeft w:val="0"/>
      <w:marRight w:val="0"/>
      <w:marTop w:val="0"/>
      <w:marBottom w:val="0"/>
      <w:divBdr>
        <w:top w:val="none" w:sz="0" w:space="0" w:color="auto"/>
        <w:left w:val="none" w:sz="0" w:space="0" w:color="auto"/>
        <w:bottom w:val="none" w:sz="0" w:space="0" w:color="auto"/>
        <w:right w:val="none" w:sz="0" w:space="0" w:color="auto"/>
      </w:divBdr>
    </w:div>
    <w:div w:id="2020698791">
      <w:bodyDiv w:val="1"/>
      <w:marLeft w:val="0"/>
      <w:marRight w:val="0"/>
      <w:marTop w:val="0"/>
      <w:marBottom w:val="0"/>
      <w:divBdr>
        <w:top w:val="none" w:sz="0" w:space="0" w:color="auto"/>
        <w:left w:val="none" w:sz="0" w:space="0" w:color="auto"/>
        <w:bottom w:val="none" w:sz="0" w:space="0" w:color="auto"/>
        <w:right w:val="none" w:sz="0" w:space="0" w:color="auto"/>
      </w:divBdr>
    </w:div>
    <w:div w:id="2118014942">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CFAD98-B258-4ECD-81D2-B692A5BB9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5842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2015-03-12T09:46:00Z</dcterms:created>
  <dcterms:modified xsi:type="dcterms:W3CDTF">2015-03-12T09:46:00Z</dcterms:modified>
</cp:coreProperties>
</file>