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EB0" w:rsidRPr="00E17EB0" w:rsidRDefault="00E17EB0" w:rsidP="00E17EB0">
      <w:pPr>
        <w:spacing w:after="0" w:line="690" w:lineRule="atLeast"/>
        <w:outlineLvl w:val="1"/>
        <w:rPr>
          <w:rFonts w:ascii="RokkittRegular" w:eastAsia="Times New Roman" w:hAnsi="RokkittRegular" w:cs="Arial"/>
          <w:b/>
          <w:bCs/>
          <w:caps/>
          <w:color w:val="624D42"/>
          <w:spacing w:val="30"/>
          <w:kern w:val="36"/>
          <w:sz w:val="83"/>
          <w:szCs w:val="83"/>
          <w:lang w:val="en-US" w:eastAsia="en-ZA"/>
        </w:rPr>
      </w:pPr>
      <w:r w:rsidRPr="00E17EB0">
        <w:rPr>
          <w:rFonts w:ascii="RokkittRegular" w:eastAsia="Times New Roman" w:hAnsi="RokkittRegular" w:cs="Arial"/>
          <w:b/>
          <w:bCs/>
          <w:caps/>
          <w:color w:val="624D42"/>
          <w:spacing w:val="30"/>
          <w:kern w:val="36"/>
          <w:sz w:val="83"/>
          <w:szCs w:val="83"/>
          <w:lang w:val="en-US" w:eastAsia="en-ZA"/>
        </w:rPr>
        <w:t xml:space="preserve">BDSI Report </w:t>
      </w:r>
    </w:p>
    <w:p w:rsidR="00E17EB0" w:rsidRPr="00E17EB0" w:rsidRDefault="00E17EB0" w:rsidP="00E17EB0">
      <w:pPr>
        <w:spacing w:after="150" w:line="240" w:lineRule="auto"/>
        <w:outlineLvl w:val="2"/>
        <w:rPr>
          <w:rFonts w:ascii="Calibri" w:eastAsia="Times New Roman" w:hAnsi="Calibri" w:cs="Calibri"/>
          <w:color w:val="FAA61A"/>
          <w:sz w:val="32"/>
          <w:szCs w:val="32"/>
          <w:lang w:val="en-US" w:eastAsia="en-ZA"/>
        </w:rPr>
      </w:pPr>
      <w:r w:rsidRPr="00E17EB0">
        <w:rPr>
          <w:rFonts w:ascii="Calibri" w:eastAsia="Times New Roman" w:hAnsi="Calibri" w:cs="Calibri"/>
          <w:color w:val="000000"/>
          <w:sz w:val="32"/>
          <w:szCs w:val="32"/>
          <w:lang w:val="en-US" w:eastAsia="en-ZA"/>
        </w:rPr>
        <w:t xml:space="preserve">Mike </w:t>
      </w:r>
      <w:proofErr w:type="spellStart"/>
      <w:r w:rsidRPr="00E17EB0">
        <w:rPr>
          <w:rFonts w:ascii="Calibri" w:eastAsia="Times New Roman" w:hAnsi="Calibri" w:cs="Calibri"/>
          <w:color w:val="000000"/>
          <w:sz w:val="32"/>
          <w:szCs w:val="32"/>
          <w:lang w:val="en-US" w:eastAsia="en-ZA"/>
        </w:rPr>
        <w:t>Schüssler</w:t>
      </w:r>
      <w:proofErr w:type="spellEnd"/>
    </w:p>
    <w:p w:rsidR="00E17EB0" w:rsidRPr="00E17EB0" w:rsidRDefault="00E17EB0" w:rsidP="00E17EB0">
      <w:pPr>
        <w:spacing w:after="375" w:line="300" w:lineRule="atLeast"/>
        <w:rPr>
          <w:rFonts w:ascii="Arial" w:eastAsia="Times New Roman" w:hAnsi="Arial" w:cs="Arial"/>
          <w:b/>
          <w:bCs/>
          <w:color w:val="000000"/>
          <w:sz w:val="18"/>
          <w:szCs w:val="18"/>
          <w:lang w:val="en-US" w:eastAsia="en-ZA"/>
        </w:rPr>
      </w:pPr>
      <w:r w:rsidRPr="00E17EB0">
        <w:rPr>
          <w:rFonts w:ascii="Arial" w:eastAsia="Times New Roman" w:hAnsi="Arial" w:cs="Arial"/>
          <w:b/>
          <w:bCs/>
          <w:color w:val="000000"/>
          <w:sz w:val="27"/>
          <w:szCs w:val="27"/>
          <w:lang w:val="en-US" w:eastAsia="en-ZA"/>
        </w:rPr>
        <w:t>Decline in take-home pay suffers real decline</w:t>
      </w:r>
    </w:p>
    <w:p w:rsidR="00E17EB0" w:rsidRPr="00E17EB0" w:rsidRDefault="00E17EB0" w:rsidP="00E17EB0">
      <w:pPr>
        <w:spacing w:after="240" w:line="270" w:lineRule="atLeast"/>
        <w:rPr>
          <w:rFonts w:ascii="Arial" w:eastAsia="Times New Roman" w:hAnsi="Arial" w:cs="Arial"/>
          <w:color w:val="000000"/>
          <w:sz w:val="18"/>
          <w:szCs w:val="18"/>
          <w:lang w:val="en-US" w:eastAsia="en-ZA"/>
        </w:rPr>
      </w:pPr>
      <w:r w:rsidRPr="00E17EB0">
        <w:rPr>
          <w:rFonts w:ascii="Arial" w:eastAsia="Times New Roman" w:hAnsi="Arial" w:cs="Arial"/>
          <w:color w:val="000000"/>
          <w:sz w:val="24"/>
          <w:szCs w:val="24"/>
          <w:lang w:val="en-US" w:eastAsia="en-ZA"/>
        </w:rPr>
        <w:t>Last month there was a noticeable decline in the take-home pay as measured by the BDSI.</w:t>
      </w:r>
      <w:r w:rsidRPr="00E17EB0">
        <w:rPr>
          <w:rFonts w:ascii="Arial" w:eastAsia="Times New Roman" w:hAnsi="Arial" w:cs="Arial"/>
          <w:color w:val="000000"/>
          <w:sz w:val="24"/>
          <w:szCs w:val="24"/>
          <w:lang w:val="en-US" w:eastAsia="en-ZA"/>
        </w:rPr>
        <w:br/>
      </w:r>
      <w:r w:rsidRPr="00E17EB0">
        <w:rPr>
          <w:rFonts w:ascii="Arial" w:eastAsia="Times New Roman" w:hAnsi="Arial" w:cs="Arial"/>
          <w:color w:val="000000"/>
          <w:sz w:val="24"/>
          <w:szCs w:val="24"/>
          <w:lang w:val="en-US" w:eastAsia="en-ZA"/>
        </w:rPr>
        <w:br/>
        <w:t xml:space="preserve">The </w:t>
      </w:r>
      <w:proofErr w:type="spellStart"/>
      <w:r w:rsidRPr="00E17EB0">
        <w:rPr>
          <w:rFonts w:ascii="Arial" w:eastAsia="Times New Roman" w:hAnsi="Arial" w:cs="Arial"/>
          <w:color w:val="000000"/>
          <w:sz w:val="24"/>
          <w:szCs w:val="24"/>
          <w:lang w:val="en-US" w:eastAsia="en-ZA"/>
        </w:rPr>
        <w:t>BankservAfrica</w:t>
      </w:r>
      <w:proofErr w:type="spellEnd"/>
      <w:r w:rsidRPr="00E17EB0">
        <w:rPr>
          <w:rFonts w:ascii="Arial" w:eastAsia="Times New Roman" w:hAnsi="Arial" w:cs="Arial"/>
          <w:color w:val="000000"/>
          <w:sz w:val="24"/>
          <w:szCs w:val="24"/>
          <w:lang w:val="en-US" w:eastAsia="en-ZA"/>
        </w:rPr>
        <w:t xml:space="preserve"> Disposable Salary Index (BDSI</w:t>
      </w:r>
      <w:proofErr w:type="gramStart"/>
      <w:r w:rsidRPr="00E17EB0">
        <w:rPr>
          <w:rFonts w:ascii="Arial" w:eastAsia="Times New Roman" w:hAnsi="Arial" w:cs="Arial"/>
          <w:color w:val="000000"/>
          <w:sz w:val="24"/>
          <w:szCs w:val="24"/>
          <w:lang w:val="en-US" w:eastAsia="en-ZA"/>
        </w:rPr>
        <w:t>),</w:t>
      </w:r>
      <w:proofErr w:type="gramEnd"/>
      <w:r w:rsidRPr="00E17EB0">
        <w:rPr>
          <w:rFonts w:ascii="Arial" w:eastAsia="Times New Roman" w:hAnsi="Arial" w:cs="Arial"/>
          <w:color w:val="000000"/>
          <w:sz w:val="24"/>
          <w:szCs w:val="24"/>
          <w:lang w:val="en-US" w:eastAsia="en-ZA"/>
        </w:rPr>
        <w:t xml:space="preserve"> suffered a decline of 2.1% in October 2015, after taking inflation into account. With inflation at 4.7%, the nominal increase of 2.5% in October 2015 over October in 2014 means that there was a decline of 2.1% in the formal sector salaries, as paid into people’s bank accounts.</w:t>
      </w:r>
      <w:r w:rsidRPr="00E17EB0">
        <w:rPr>
          <w:rFonts w:ascii="Arial" w:eastAsia="Times New Roman" w:hAnsi="Arial" w:cs="Arial"/>
          <w:color w:val="000000"/>
          <w:sz w:val="24"/>
          <w:szCs w:val="24"/>
          <w:lang w:val="en-US" w:eastAsia="en-ZA"/>
        </w:rPr>
        <w:br/>
      </w:r>
      <w:r w:rsidRPr="00E17EB0">
        <w:rPr>
          <w:rFonts w:ascii="Arial" w:eastAsia="Times New Roman" w:hAnsi="Arial" w:cs="Arial"/>
          <w:color w:val="000000"/>
          <w:sz w:val="24"/>
          <w:szCs w:val="24"/>
          <w:lang w:val="en-US" w:eastAsia="en-ZA"/>
        </w:rPr>
        <w:br/>
        <w:t>Considering the last four years of disposable salary data that is available this is an unusual occurrence, as this is only the 2nd time this year that disposable salaries have declined after inflation is taken into account.</w:t>
      </w:r>
      <w:r w:rsidRPr="00E17EB0">
        <w:rPr>
          <w:rFonts w:ascii="Arial" w:eastAsia="Times New Roman" w:hAnsi="Arial" w:cs="Arial"/>
          <w:color w:val="000000"/>
          <w:sz w:val="24"/>
          <w:szCs w:val="24"/>
          <w:lang w:val="en-US" w:eastAsia="en-ZA"/>
        </w:rPr>
        <w:br/>
      </w:r>
      <w:r w:rsidRPr="00E17EB0">
        <w:rPr>
          <w:rFonts w:ascii="Arial" w:eastAsia="Times New Roman" w:hAnsi="Arial" w:cs="Arial"/>
          <w:color w:val="000000"/>
          <w:sz w:val="24"/>
          <w:szCs w:val="24"/>
          <w:lang w:val="en-US" w:eastAsia="en-ZA"/>
        </w:rPr>
        <w:br/>
      </w:r>
      <w:r w:rsidRPr="00E17EB0">
        <w:rPr>
          <w:rFonts w:ascii="Arial" w:eastAsia="Times New Roman" w:hAnsi="Arial" w:cs="Arial"/>
          <w:b/>
          <w:bCs/>
          <w:color w:val="333333"/>
          <w:sz w:val="24"/>
          <w:szCs w:val="24"/>
          <w:lang w:val="en-US" w:eastAsia="en-ZA"/>
        </w:rPr>
        <w:t>Unusual and unfortunate reasons for low increase</w:t>
      </w:r>
      <w:r w:rsidRPr="00E17EB0">
        <w:rPr>
          <w:rFonts w:ascii="Arial" w:eastAsia="Times New Roman" w:hAnsi="Arial" w:cs="Arial"/>
          <w:color w:val="000000"/>
          <w:sz w:val="24"/>
          <w:szCs w:val="24"/>
          <w:lang w:val="en-US" w:eastAsia="en-ZA"/>
        </w:rPr>
        <w:br/>
      </w:r>
      <w:r w:rsidRPr="00E17EB0">
        <w:rPr>
          <w:rFonts w:ascii="Arial" w:eastAsia="Times New Roman" w:hAnsi="Arial" w:cs="Arial"/>
          <w:color w:val="000000"/>
          <w:sz w:val="24"/>
          <w:szCs w:val="24"/>
          <w:lang w:val="en-US" w:eastAsia="en-ZA"/>
        </w:rPr>
        <w:br/>
        <w:t>Higher than usual payments obtained in October 2014 as back pay from wage adjustments – for example with the metal industry - is partly responsible for this discrepancy, meaning that the base for the measurement is unusually high.</w:t>
      </w:r>
      <w:r w:rsidRPr="00E17EB0">
        <w:rPr>
          <w:rFonts w:ascii="Arial" w:eastAsia="Times New Roman" w:hAnsi="Arial" w:cs="Arial"/>
          <w:color w:val="000000"/>
          <w:sz w:val="24"/>
          <w:szCs w:val="24"/>
          <w:lang w:val="en-US" w:eastAsia="en-ZA"/>
        </w:rPr>
        <w:br/>
      </w:r>
      <w:r w:rsidRPr="00E17EB0">
        <w:rPr>
          <w:rFonts w:ascii="Arial" w:eastAsia="Times New Roman" w:hAnsi="Arial" w:cs="Arial"/>
          <w:color w:val="000000"/>
          <w:sz w:val="24"/>
          <w:szCs w:val="24"/>
          <w:lang w:val="en-US" w:eastAsia="en-ZA"/>
        </w:rPr>
        <w:br/>
        <w:t>But weak economic conditions may also be having an impact as the salary of the person in the middle (also referred to as the ‘typical salary’) also had a smaller than usual increase of 4.9% or just 0.3% above the inflation rate for October when compared to last year.</w:t>
      </w:r>
      <w:r w:rsidRPr="00E17EB0">
        <w:rPr>
          <w:rFonts w:ascii="Arial" w:eastAsia="Times New Roman" w:hAnsi="Arial" w:cs="Arial"/>
          <w:color w:val="000000"/>
          <w:sz w:val="24"/>
          <w:szCs w:val="24"/>
          <w:lang w:val="en-US" w:eastAsia="en-ZA"/>
        </w:rPr>
        <w:br/>
      </w:r>
      <w:r w:rsidRPr="00E17EB0">
        <w:rPr>
          <w:rFonts w:ascii="Arial" w:eastAsia="Times New Roman" w:hAnsi="Arial" w:cs="Arial"/>
          <w:color w:val="000000"/>
          <w:sz w:val="24"/>
          <w:szCs w:val="24"/>
          <w:lang w:val="en-US" w:eastAsia="en-ZA"/>
        </w:rPr>
        <w:br/>
        <w:t>The average salary was R12 840 in October, indicating a decline of R150 compared to last month. This is likely a reflection that many people are not able to earn the extras in their salary such as overtime, work related bonuses or making targets for extra commissions.</w:t>
      </w:r>
      <w:r w:rsidRPr="00E17EB0">
        <w:rPr>
          <w:rFonts w:ascii="Arial" w:eastAsia="Times New Roman" w:hAnsi="Arial" w:cs="Arial"/>
          <w:color w:val="000000"/>
          <w:sz w:val="24"/>
          <w:szCs w:val="24"/>
          <w:lang w:val="en-US" w:eastAsia="en-ZA"/>
        </w:rPr>
        <w:br/>
      </w:r>
      <w:r w:rsidRPr="00E17EB0">
        <w:rPr>
          <w:rFonts w:ascii="Arial" w:eastAsia="Times New Roman" w:hAnsi="Arial" w:cs="Arial"/>
          <w:color w:val="000000"/>
          <w:sz w:val="24"/>
          <w:szCs w:val="24"/>
          <w:lang w:val="en-US" w:eastAsia="en-ZA"/>
        </w:rPr>
        <w:br/>
        <w:t xml:space="preserve">Another consideration is that the back payments of local government salaries are now out of the system so there is a </w:t>
      </w:r>
      <w:proofErr w:type="spellStart"/>
      <w:r w:rsidRPr="00E17EB0">
        <w:rPr>
          <w:rFonts w:ascii="Arial" w:eastAsia="Times New Roman" w:hAnsi="Arial" w:cs="Arial"/>
          <w:color w:val="000000"/>
          <w:sz w:val="24"/>
          <w:szCs w:val="24"/>
          <w:lang w:val="en-US" w:eastAsia="en-ZA"/>
        </w:rPr>
        <w:t>normalisation</w:t>
      </w:r>
      <w:proofErr w:type="spellEnd"/>
      <w:r w:rsidRPr="00E17EB0">
        <w:rPr>
          <w:rFonts w:ascii="Arial" w:eastAsia="Times New Roman" w:hAnsi="Arial" w:cs="Arial"/>
          <w:color w:val="000000"/>
          <w:sz w:val="24"/>
          <w:szCs w:val="24"/>
          <w:lang w:val="en-US" w:eastAsia="en-ZA"/>
        </w:rPr>
        <w:t xml:space="preserve"> of salaries, and therefore no exceptions in the data are anticipated for the next few months.</w:t>
      </w:r>
      <w:r w:rsidRPr="00E17EB0">
        <w:rPr>
          <w:rFonts w:ascii="Arial" w:eastAsia="Times New Roman" w:hAnsi="Arial" w:cs="Arial"/>
          <w:color w:val="000000"/>
          <w:sz w:val="24"/>
          <w:szCs w:val="24"/>
          <w:lang w:val="en-US" w:eastAsia="en-ZA"/>
        </w:rPr>
        <w:br/>
      </w:r>
      <w:r w:rsidRPr="00E17EB0">
        <w:rPr>
          <w:rFonts w:ascii="Arial" w:eastAsia="Times New Roman" w:hAnsi="Arial" w:cs="Arial"/>
          <w:color w:val="000000"/>
          <w:sz w:val="24"/>
          <w:szCs w:val="24"/>
          <w:lang w:val="en-US" w:eastAsia="en-ZA"/>
        </w:rPr>
        <w:br/>
      </w:r>
      <w:r w:rsidRPr="00E17EB0">
        <w:rPr>
          <w:rFonts w:ascii="Arial" w:eastAsia="Times New Roman" w:hAnsi="Arial" w:cs="Arial"/>
          <w:b/>
          <w:bCs/>
          <w:color w:val="333333"/>
          <w:sz w:val="24"/>
          <w:szCs w:val="24"/>
          <w:lang w:val="en-US" w:eastAsia="en-ZA"/>
        </w:rPr>
        <w:t>Increase in number of people earning well</w:t>
      </w:r>
      <w:r w:rsidRPr="00E17EB0">
        <w:rPr>
          <w:rFonts w:ascii="Arial" w:eastAsia="Times New Roman" w:hAnsi="Arial" w:cs="Arial"/>
          <w:b/>
          <w:bCs/>
          <w:color w:val="333333"/>
          <w:sz w:val="24"/>
          <w:szCs w:val="24"/>
          <w:lang w:val="en-US" w:eastAsia="en-ZA"/>
        </w:rPr>
        <w:br/>
      </w:r>
      <w:r w:rsidRPr="00E17EB0">
        <w:rPr>
          <w:rFonts w:ascii="Arial" w:eastAsia="Times New Roman" w:hAnsi="Arial" w:cs="Arial"/>
          <w:color w:val="000000"/>
          <w:sz w:val="24"/>
          <w:szCs w:val="24"/>
          <w:lang w:val="en-US" w:eastAsia="en-ZA"/>
        </w:rPr>
        <w:br/>
      </w:r>
      <w:proofErr w:type="gramStart"/>
      <w:r w:rsidRPr="00E17EB0">
        <w:rPr>
          <w:rFonts w:ascii="Arial" w:eastAsia="Times New Roman" w:hAnsi="Arial" w:cs="Arial"/>
          <w:color w:val="000000"/>
          <w:sz w:val="24"/>
          <w:szCs w:val="24"/>
          <w:lang w:val="en-US" w:eastAsia="en-ZA"/>
        </w:rPr>
        <w:t>Interestingly</w:t>
      </w:r>
      <w:proofErr w:type="gramEnd"/>
      <w:r w:rsidRPr="00E17EB0">
        <w:rPr>
          <w:rFonts w:ascii="Arial" w:eastAsia="Times New Roman" w:hAnsi="Arial" w:cs="Arial"/>
          <w:color w:val="000000"/>
          <w:sz w:val="24"/>
          <w:szCs w:val="24"/>
          <w:lang w:val="en-US" w:eastAsia="en-ZA"/>
        </w:rPr>
        <w:t>, the number of employees receiving over R50 000 in their bank accounts has more than doubled from 22 305 on average from August to October 2011, to 50 524 between August and October 2015 (excluding those earning over R100 000 plus a month).</w:t>
      </w:r>
      <w:r w:rsidRPr="00E17EB0">
        <w:rPr>
          <w:rFonts w:ascii="Arial" w:eastAsia="Times New Roman" w:hAnsi="Arial" w:cs="Arial"/>
          <w:color w:val="000000"/>
          <w:sz w:val="24"/>
          <w:szCs w:val="24"/>
          <w:lang w:val="en-US" w:eastAsia="en-ZA"/>
        </w:rPr>
        <w:br/>
      </w:r>
      <w:r w:rsidRPr="00E17EB0">
        <w:rPr>
          <w:rFonts w:ascii="Arial" w:eastAsia="Times New Roman" w:hAnsi="Arial" w:cs="Arial"/>
          <w:color w:val="000000"/>
          <w:sz w:val="24"/>
          <w:szCs w:val="24"/>
          <w:lang w:val="en-US" w:eastAsia="en-ZA"/>
        </w:rPr>
        <w:br/>
        <w:t xml:space="preserve">The number of people receiving salaries of more than R50 000 but less than R100 000 per month has increased from 0.8% to 1.6% of the total people earning salaries in the dataset. While this is only take-home pay as paid via the South African </w:t>
      </w:r>
      <w:r w:rsidRPr="00E17EB0">
        <w:rPr>
          <w:rFonts w:ascii="Arial" w:eastAsia="Times New Roman" w:hAnsi="Arial" w:cs="Arial"/>
          <w:color w:val="000000"/>
          <w:sz w:val="24"/>
          <w:szCs w:val="24"/>
          <w:lang w:val="en-US" w:eastAsia="en-ZA"/>
        </w:rPr>
        <w:lastRenderedPageBreak/>
        <w:t>Payment system, it shows that - despite income tax increases, and above inflation medical insurance increases - the number of people taking home over R600 000 per year has doubled.</w:t>
      </w:r>
      <w:r w:rsidRPr="00E17EB0">
        <w:rPr>
          <w:rFonts w:ascii="Arial" w:eastAsia="Times New Roman" w:hAnsi="Arial" w:cs="Arial"/>
          <w:color w:val="000000"/>
          <w:sz w:val="24"/>
          <w:szCs w:val="24"/>
          <w:lang w:val="en-US" w:eastAsia="en-ZA"/>
        </w:rPr>
        <w:br/>
      </w:r>
      <w:r w:rsidRPr="00E17EB0">
        <w:rPr>
          <w:rFonts w:ascii="Arial" w:eastAsia="Times New Roman" w:hAnsi="Arial" w:cs="Arial"/>
          <w:color w:val="000000"/>
          <w:sz w:val="24"/>
          <w:szCs w:val="24"/>
          <w:lang w:val="en-US" w:eastAsia="en-ZA"/>
        </w:rPr>
        <w:br/>
        <w:t>Similarly, the number of people who take home over R300 000 but less than R600 000 per year has increased from 5% to 8.4% of the total number of earners, while those taking home between R120 000 and R300 000 has increased from 26% to 38.4%.</w:t>
      </w:r>
      <w:r w:rsidRPr="00E17EB0">
        <w:rPr>
          <w:rFonts w:ascii="Arial" w:eastAsia="Times New Roman" w:hAnsi="Arial" w:cs="Arial"/>
          <w:color w:val="000000"/>
          <w:sz w:val="24"/>
          <w:szCs w:val="24"/>
          <w:lang w:val="en-US" w:eastAsia="en-ZA"/>
        </w:rPr>
        <w:br/>
      </w:r>
      <w:r w:rsidRPr="00E17EB0">
        <w:rPr>
          <w:rFonts w:ascii="Arial" w:eastAsia="Times New Roman" w:hAnsi="Arial" w:cs="Arial"/>
          <w:color w:val="000000"/>
          <w:sz w:val="24"/>
          <w:szCs w:val="24"/>
          <w:lang w:val="en-US" w:eastAsia="en-ZA"/>
        </w:rPr>
        <w:br/>
        <w:t>Those with a disposable income between R120 000 and R1 200 000 per year has increased from 31.7% of the total in October 2011 to 48.4% in October 2015. This represents a 61% increase over four years and far exceeds inflation.</w:t>
      </w:r>
      <w:r w:rsidRPr="00E17EB0">
        <w:rPr>
          <w:rFonts w:ascii="Arial" w:eastAsia="Times New Roman" w:hAnsi="Arial" w:cs="Arial"/>
          <w:color w:val="000000"/>
          <w:sz w:val="24"/>
          <w:szCs w:val="24"/>
          <w:lang w:val="en-US" w:eastAsia="en-ZA"/>
        </w:rPr>
        <w:br/>
      </w:r>
      <w:r w:rsidRPr="00E17EB0">
        <w:rPr>
          <w:rFonts w:ascii="Arial" w:eastAsia="Times New Roman" w:hAnsi="Arial" w:cs="Arial"/>
          <w:color w:val="000000"/>
          <w:sz w:val="24"/>
          <w:szCs w:val="24"/>
          <w:lang w:val="en-US" w:eastAsia="en-ZA"/>
        </w:rPr>
        <w:br/>
        <w:t>This obliviously has resulted in higher tax collections as well as higher retail sales and explains why the upmarket retail figures continue to do well. The increase in the number of people earning over R120 000 indicates that despite slow economic growth the upper middle class is still increasing its ranks fairly well.</w:t>
      </w:r>
      <w:r w:rsidRPr="00E17EB0">
        <w:rPr>
          <w:rFonts w:ascii="Arial" w:eastAsia="Times New Roman" w:hAnsi="Arial" w:cs="Arial"/>
          <w:color w:val="000000"/>
          <w:sz w:val="24"/>
          <w:szCs w:val="24"/>
          <w:lang w:val="en-US" w:eastAsia="en-ZA"/>
        </w:rPr>
        <w:br/>
      </w:r>
      <w:r w:rsidRPr="00E17EB0">
        <w:rPr>
          <w:rFonts w:ascii="Arial" w:eastAsia="Times New Roman" w:hAnsi="Arial" w:cs="Arial"/>
          <w:color w:val="000000"/>
          <w:sz w:val="24"/>
          <w:szCs w:val="24"/>
          <w:lang w:val="en-US" w:eastAsia="en-ZA"/>
        </w:rPr>
        <w:br/>
      </w:r>
      <w:r w:rsidRPr="00E17EB0">
        <w:rPr>
          <w:rFonts w:ascii="Arial" w:eastAsia="Times New Roman" w:hAnsi="Arial" w:cs="Arial"/>
          <w:b/>
          <w:bCs/>
          <w:color w:val="333333"/>
          <w:sz w:val="24"/>
          <w:szCs w:val="24"/>
          <w:lang w:val="en-US" w:eastAsia="en-ZA"/>
        </w:rPr>
        <w:t>Pension increases still beat inflation</w:t>
      </w:r>
      <w:r w:rsidRPr="00E17EB0">
        <w:rPr>
          <w:rFonts w:ascii="Arial" w:eastAsia="Times New Roman" w:hAnsi="Arial" w:cs="Arial"/>
          <w:b/>
          <w:bCs/>
          <w:color w:val="333333"/>
          <w:sz w:val="24"/>
          <w:szCs w:val="24"/>
          <w:lang w:val="en-US" w:eastAsia="en-ZA"/>
        </w:rPr>
        <w:br/>
      </w:r>
      <w:r w:rsidRPr="00E17EB0">
        <w:rPr>
          <w:rFonts w:ascii="Arial" w:eastAsia="Times New Roman" w:hAnsi="Arial" w:cs="Arial"/>
          <w:color w:val="000000"/>
          <w:sz w:val="24"/>
          <w:szCs w:val="24"/>
          <w:lang w:val="en-US" w:eastAsia="en-ZA"/>
        </w:rPr>
        <w:br/>
        <w:t>In contrast to the salaries this month, pensions continued to increase well above the inflation rate in October 2015, with the average disposable private pension increasing 9% on a year ago.</w:t>
      </w:r>
      <w:r w:rsidRPr="00E17EB0">
        <w:rPr>
          <w:rFonts w:ascii="Arial" w:eastAsia="Times New Roman" w:hAnsi="Arial" w:cs="Arial"/>
          <w:color w:val="000000"/>
          <w:sz w:val="24"/>
          <w:szCs w:val="24"/>
          <w:lang w:val="en-US" w:eastAsia="en-ZA"/>
        </w:rPr>
        <w:br/>
      </w:r>
      <w:r w:rsidRPr="00E17EB0">
        <w:rPr>
          <w:rFonts w:ascii="Arial" w:eastAsia="Times New Roman" w:hAnsi="Arial" w:cs="Arial"/>
          <w:color w:val="000000"/>
          <w:sz w:val="24"/>
          <w:szCs w:val="24"/>
          <w:lang w:val="en-US" w:eastAsia="en-ZA"/>
        </w:rPr>
        <w:br/>
        <w:t xml:space="preserve">The average pension was R5 946 in October compared to R5 947 in September.  The average private pensions increased by 4.2% in real terms. </w:t>
      </w:r>
      <w:proofErr w:type="gramStart"/>
      <w:r w:rsidRPr="00E17EB0">
        <w:rPr>
          <w:rFonts w:ascii="Arial" w:eastAsia="Times New Roman" w:hAnsi="Arial" w:cs="Arial"/>
          <w:color w:val="000000"/>
          <w:sz w:val="24"/>
          <w:szCs w:val="24"/>
          <w:lang w:val="en-US" w:eastAsia="en-ZA"/>
        </w:rPr>
        <w:t>The pensioner in the middle or the typical pension increased by 9.3% in nominal terms to R3 957 per month.</w:t>
      </w:r>
      <w:proofErr w:type="gramEnd"/>
    </w:p>
    <w:p w:rsidR="00E17EB0" w:rsidRPr="00E17EB0" w:rsidRDefault="00E17EB0" w:rsidP="00E17EB0">
      <w:pPr>
        <w:spacing w:after="100" w:line="270" w:lineRule="atLeast"/>
        <w:rPr>
          <w:rFonts w:ascii="Arial" w:eastAsia="Times New Roman" w:hAnsi="Arial" w:cs="Arial"/>
          <w:color w:val="000000"/>
          <w:sz w:val="18"/>
          <w:szCs w:val="18"/>
          <w:lang w:val="en-US" w:eastAsia="en-ZA"/>
        </w:rPr>
      </w:pPr>
      <w:bookmarkStart w:id="0" w:name="_GoBack"/>
      <w:r>
        <w:rPr>
          <w:rFonts w:ascii="Arial" w:eastAsia="Times New Roman" w:hAnsi="Arial" w:cs="Arial"/>
          <w:noProof/>
          <w:color w:val="000000"/>
          <w:sz w:val="18"/>
          <w:szCs w:val="18"/>
          <w:lang w:eastAsia="en-ZA"/>
        </w:rPr>
        <w:drawing>
          <wp:inline distT="0" distB="0" distL="0" distR="0">
            <wp:extent cx="5814242" cy="3705225"/>
            <wp:effectExtent l="0" t="0" r="0" b="0"/>
            <wp:docPr id="1" name="Picture 1" descr="http://www.bankservafrica.com/portals/1/Documents/BDSI%20graphs/BDSI-BPPI-NOV.JPG?ver=2015-11-25-15531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ankservafrica.com/portals/1/Documents/BDSI%20graphs/BDSI-BPPI-NOV.JPG?ver=2015-11-25-155311-24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14242" cy="3705225"/>
                    </a:xfrm>
                    <a:prstGeom prst="rect">
                      <a:avLst/>
                    </a:prstGeom>
                    <a:noFill/>
                    <a:ln>
                      <a:noFill/>
                    </a:ln>
                  </pic:spPr>
                </pic:pic>
              </a:graphicData>
            </a:graphic>
          </wp:inline>
        </w:drawing>
      </w:r>
      <w:bookmarkEnd w:id="0"/>
    </w:p>
    <w:p w:rsidR="009E1FDD" w:rsidRPr="00E17EB0" w:rsidRDefault="009E1FDD" w:rsidP="00E17EB0"/>
    <w:sectPr w:rsidR="009E1FDD" w:rsidRPr="00E17EB0" w:rsidSect="003F1A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RokkittRegular">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FDD"/>
    <w:rsid w:val="002B58FC"/>
    <w:rsid w:val="003F1A62"/>
    <w:rsid w:val="008A5B37"/>
    <w:rsid w:val="009E1FDD"/>
    <w:rsid w:val="009F3225"/>
    <w:rsid w:val="00E17EB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FDD"/>
    <w:rPr>
      <w:rFonts w:ascii="Tahoma" w:hAnsi="Tahoma" w:cs="Tahoma"/>
      <w:sz w:val="16"/>
      <w:szCs w:val="16"/>
    </w:rPr>
  </w:style>
  <w:style w:type="character" w:styleId="Strong">
    <w:name w:val="Strong"/>
    <w:basedOn w:val="DefaultParagraphFont"/>
    <w:uiPriority w:val="22"/>
    <w:qFormat/>
    <w:rsid w:val="008A5B37"/>
    <w:rPr>
      <w:b/>
      <w:bCs/>
      <w:color w:val="333333"/>
    </w:rPr>
  </w:style>
  <w:style w:type="character" w:customStyle="1" w:styleId="titleh12">
    <w:name w:val="titleh12"/>
    <w:basedOn w:val="DefaultParagraphFont"/>
    <w:rsid w:val="008A5B37"/>
  </w:style>
  <w:style w:type="character" w:customStyle="1" w:styleId="apple-tab-span">
    <w:name w:val="apple-tab-span"/>
    <w:basedOn w:val="DefaultParagraphFont"/>
    <w:rsid w:val="002B58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FDD"/>
    <w:rPr>
      <w:rFonts w:ascii="Tahoma" w:hAnsi="Tahoma" w:cs="Tahoma"/>
      <w:sz w:val="16"/>
      <w:szCs w:val="16"/>
    </w:rPr>
  </w:style>
  <w:style w:type="character" w:styleId="Strong">
    <w:name w:val="Strong"/>
    <w:basedOn w:val="DefaultParagraphFont"/>
    <w:uiPriority w:val="22"/>
    <w:qFormat/>
    <w:rsid w:val="008A5B37"/>
    <w:rPr>
      <w:b/>
      <w:bCs/>
      <w:color w:val="333333"/>
    </w:rPr>
  </w:style>
  <w:style w:type="character" w:customStyle="1" w:styleId="titleh12">
    <w:name w:val="titleh12"/>
    <w:basedOn w:val="DefaultParagraphFont"/>
    <w:rsid w:val="008A5B37"/>
  </w:style>
  <w:style w:type="character" w:customStyle="1" w:styleId="apple-tab-span">
    <w:name w:val="apple-tab-span"/>
    <w:basedOn w:val="DefaultParagraphFont"/>
    <w:rsid w:val="002B5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731226">
      <w:bodyDiv w:val="1"/>
      <w:marLeft w:val="0"/>
      <w:marRight w:val="0"/>
      <w:marTop w:val="0"/>
      <w:marBottom w:val="0"/>
      <w:divBdr>
        <w:top w:val="none" w:sz="0" w:space="0" w:color="auto"/>
        <w:left w:val="none" w:sz="0" w:space="0" w:color="auto"/>
        <w:bottom w:val="none" w:sz="0" w:space="0" w:color="auto"/>
        <w:right w:val="none" w:sz="0" w:space="0" w:color="auto"/>
      </w:divBdr>
      <w:divsChild>
        <w:div w:id="711929709">
          <w:marLeft w:val="0"/>
          <w:marRight w:val="0"/>
          <w:marTop w:val="0"/>
          <w:marBottom w:val="0"/>
          <w:divBdr>
            <w:top w:val="none" w:sz="0" w:space="0" w:color="auto"/>
            <w:left w:val="none" w:sz="0" w:space="0" w:color="auto"/>
            <w:bottom w:val="none" w:sz="0" w:space="0" w:color="auto"/>
            <w:right w:val="none" w:sz="0" w:space="0" w:color="auto"/>
          </w:divBdr>
          <w:divsChild>
            <w:div w:id="242759738">
              <w:marLeft w:val="0"/>
              <w:marRight w:val="0"/>
              <w:marTop w:val="0"/>
              <w:marBottom w:val="0"/>
              <w:divBdr>
                <w:top w:val="none" w:sz="0" w:space="0" w:color="auto"/>
                <w:left w:val="none" w:sz="0" w:space="0" w:color="auto"/>
                <w:bottom w:val="none" w:sz="0" w:space="0" w:color="auto"/>
                <w:right w:val="none" w:sz="0" w:space="0" w:color="auto"/>
              </w:divBdr>
              <w:divsChild>
                <w:div w:id="1172140073">
                  <w:marLeft w:val="0"/>
                  <w:marRight w:val="0"/>
                  <w:marTop w:val="100"/>
                  <w:marBottom w:val="100"/>
                  <w:divBdr>
                    <w:top w:val="none" w:sz="0" w:space="0" w:color="auto"/>
                    <w:left w:val="none" w:sz="0" w:space="0" w:color="auto"/>
                    <w:bottom w:val="none" w:sz="0" w:space="0" w:color="auto"/>
                    <w:right w:val="none" w:sz="0" w:space="0" w:color="auto"/>
                  </w:divBdr>
                  <w:divsChild>
                    <w:div w:id="122115136">
                      <w:marLeft w:val="0"/>
                      <w:marRight w:val="0"/>
                      <w:marTop w:val="0"/>
                      <w:marBottom w:val="0"/>
                      <w:divBdr>
                        <w:top w:val="none" w:sz="0" w:space="0" w:color="auto"/>
                        <w:left w:val="none" w:sz="0" w:space="0" w:color="auto"/>
                        <w:bottom w:val="none" w:sz="0" w:space="0" w:color="auto"/>
                        <w:right w:val="none" w:sz="0" w:space="0" w:color="auto"/>
                      </w:divBdr>
                      <w:divsChild>
                        <w:div w:id="1682589561">
                          <w:marLeft w:val="0"/>
                          <w:marRight w:val="0"/>
                          <w:marTop w:val="600"/>
                          <w:marBottom w:val="0"/>
                          <w:divBdr>
                            <w:top w:val="none" w:sz="0" w:space="0" w:color="auto"/>
                            <w:left w:val="none" w:sz="0" w:space="0" w:color="auto"/>
                            <w:bottom w:val="none" w:sz="0" w:space="0" w:color="auto"/>
                            <w:right w:val="none" w:sz="0" w:space="0" w:color="auto"/>
                          </w:divBdr>
                          <w:divsChild>
                            <w:div w:id="1256861071">
                              <w:marLeft w:val="750"/>
                              <w:marRight w:val="0"/>
                              <w:marTop w:val="0"/>
                              <w:marBottom w:val="0"/>
                              <w:divBdr>
                                <w:top w:val="none" w:sz="0" w:space="0" w:color="auto"/>
                                <w:left w:val="none" w:sz="0" w:space="0" w:color="auto"/>
                                <w:bottom w:val="none" w:sz="0" w:space="0" w:color="auto"/>
                                <w:right w:val="none" w:sz="0" w:space="0" w:color="auto"/>
                              </w:divBdr>
                              <w:divsChild>
                                <w:div w:id="1801918644">
                                  <w:marLeft w:val="0"/>
                                  <w:marRight w:val="0"/>
                                  <w:marTop w:val="0"/>
                                  <w:marBottom w:val="0"/>
                                  <w:divBdr>
                                    <w:top w:val="none" w:sz="0" w:space="0" w:color="auto"/>
                                    <w:left w:val="none" w:sz="0" w:space="0" w:color="auto"/>
                                    <w:bottom w:val="none" w:sz="0" w:space="0" w:color="auto"/>
                                    <w:right w:val="none" w:sz="0" w:space="0" w:color="auto"/>
                                  </w:divBdr>
                                  <w:divsChild>
                                    <w:div w:id="421998268">
                                      <w:marLeft w:val="0"/>
                                      <w:marRight w:val="0"/>
                                      <w:marTop w:val="0"/>
                                      <w:marBottom w:val="0"/>
                                      <w:divBdr>
                                        <w:top w:val="none" w:sz="0" w:space="0" w:color="auto"/>
                                        <w:left w:val="none" w:sz="0" w:space="0" w:color="auto"/>
                                        <w:bottom w:val="none" w:sz="0" w:space="0" w:color="auto"/>
                                        <w:right w:val="none" w:sz="0" w:space="0" w:color="auto"/>
                                      </w:divBdr>
                                      <w:divsChild>
                                        <w:div w:id="1069227718">
                                          <w:marLeft w:val="0"/>
                                          <w:marRight w:val="0"/>
                                          <w:marTop w:val="0"/>
                                          <w:marBottom w:val="0"/>
                                          <w:divBdr>
                                            <w:top w:val="none" w:sz="0" w:space="0" w:color="auto"/>
                                            <w:left w:val="none" w:sz="0" w:space="0" w:color="auto"/>
                                            <w:bottom w:val="none" w:sz="0" w:space="0" w:color="auto"/>
                                            <w:right w:val="none" w:sz="0" w:space="0" w:color="auto"/>
                                          </w:divBdr>
                                          <w:divsChild>
                                            <w:div w:id="2066684374">
                                              <w:marLeft w:val="0"/>
                                              <w:marRight w:val="0"/>
                                              <w:marTop w:val="0"/>
                                              <w:marBottom w:val="0"/>
                                              <w:divBdr>
                                                <w:top w:val="none" w:sz="0" w:space="0" w:color="auto"/>
                                                <w:left w:val="none" w:sz="0" w:space="0" w:color="auto"/>
                                                <w:bottom w:val="none" w:sz="0" w:space="0" w:color="auto"/>
                                                <w:right w:val="none" w:sz="0" w:space="0" w:color="auto"/>
                                              </w:divBdr>
                                              <w:divsChild>
                                                <w:div w:id="1767537853">
                                                  <w:marLeft w:val="0"/>
                                                  <w:marRight w:val="0"/>
                                                  <w:marTop w:val="0"/>
                                                  <w:marBottom w:val="0"/>
                                                  <w:divBdr>
                                                    <w:top w:val="none" w:sz="0" w:space="0" w:color="auto"/>
                                                    <w:left w:val="none" w:sz="0" w:space="0" w:color="auto"/>
                                                    <w:bottom w:val="none" w:sz="0" w:space="0" w:color="auto"/>
                                                    <w:right w:val="none" w:sz="0" w:space="0" w:color="auto"/>
                                                  </w:divBdr>
                                                  <w:divsChild>
                                                    <w:div w:id="249002682">
                                                      <w:marLeft w:val="0"/>
                                                      <w:marRight w:val="0"/>
                                                      <w:marTop w:val="0"/>
                                                      <w:marBottom w:val="0"/>
                                                      <w:divBdr>
                                                        <w:top w:val="none" w:sz="0" w:space="0" w:color="auto"/>
                                                        <w:left w:val="none" w:sz="0" w:space="0" w:color="auto"/>
                                                        <w:bottom w:val="none" w:sz="0" w:space="0" w:color="auto"/>
                                                        <w:right w:val="none" w:sz="0" w:space="0" w:color="auto"/>
                                                      </w:divBdr>
                                                      <w:divsChild>
                                                        <w:div w:id="2109622488">
                                                          <w:marLeft w:val="0"/>
                                                          <w:marRight w:val="0"/>
                                                          <w:marTop w:val="0"/>
                                                          <w:marBottom w:val="0"/>
                                                          <w:divBdr>
                                                            <w:top w:val="none" w:sz="0" w:space="0" w:color="auto"/>
                                                            <w:left w:val="none" w:sz="0" w:space="0" w:color="auto"/>
                                                            <w:bottom w:val="none" w:sz="0" w:space="0" w:color="auto"/>
                                                            <w:right w:val="none" w:sz="0" w:space="0" w:color="auto"/>
                                                          </w:divBdr>
                                                        </w:div>
                                                        <w:div w:id="57189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92260582">
      <w:bodyDiv w:val="1"/>
      <w:marLeft w:val="0"/>
      <w:marRight w:val="0"/>
      <w:marTop w:val="0"/>
      <w:marBottom w:val="0"/>
      <w:divBdr>
        <w:top w:val="none" w:sz="0" w:space="0" w:color="auto"/>
        <w:left w:val="none" w:sz="0" w:space="0" w:color="auto"/>
        <w:bottom w:val="none" w:sz="0" w:space="0" w:color="auto"/>
        <w:right w:val="none" w:sz="0" w:space="0" w:color="auto"/>
      </w:divBdr>
      <w:divsChild>
        <w:div w:id="1685595346">
          <w:marLeft w:val="0"/>
          <w:marRight w:val="0"/>
          <w:marTop w:val="0"/>
          <w:marBottom w:val="0"/>
          <w:divBdr>
            <w:top w:val="none" w:sz="0" w:space="0" w:color="auto"/>
            <w:left w:val="none" w:sz="0" w:space="0" w:color="auto"/>
            <w:bottom w:val="none" w:sz="0" w:space="0" w:color="auto"/>
            <w:right w:val="none" w:sz="0" w:space="0" w:color="auto"/>
          </w:divBdr>
          <w:divsChild>
            <w:div w:id="747534237">
              <w:marLeft w:val="0"/>
              <w:marRight w:val="0"/>
              <w:marTop w:val="0"/>
              <w:marBottom w:val="0"/>
              <w:divBdr>
                <w:top w:val="none" w:sz="0" w:space="0" w:color="auto"/>
                <w:left w:val="none" w:sz="0" w:space="0" w:color="auto"/>
                <w:bottom w:val="none" w:sz="0" w:space="0" w:color="auto"/>
                <w:right w:val="none" w:sz="0" w:space="0" w:color="auto"/>
              </w:divBdr>
              <w:divsChild>
                <w:div w:id="811870869">
                  <w:marLeft w:val="0"/>
                  <w:marRight w:val="0"/>
                  <w:marTop w:val="100"/>
                  <w:marBottom w:val="100"/>
                  <w:divBdr>
                    <w:top w:val="none" w:sz="0" w:space="0" w:color="auto"/>
                    <w:left w:val="none" w:sz="0" w:space="0" w:color="auto"/>
                    <w:bottom w:val="none" w:sz="0" w:space="0" w:color="auto"/>
                    <w:right w:val="none" w:sz="0" w:space="0" w:color="auto"/>
                  </w:divBdr>
                  <w:divsChild>
                    <w:div w:id="529345030">
                      <w:marLeft w:val="0"/>
                      <w:marRight w:val="0"/>
                      <w:marTop w:val="0"/>
                      <w:marBottom w:val="0"/>
                      <w:divBdr>
                        <w:top w:val="none" w:sz="0" w:space="0" w:color="auto"/>
                        <w:left w:val="none" w:sz="0" w:space="0" w:color="auto"/>
                        <w:bottom w:val="none" w:sz="0" w:space="0" w:color="auto"/>
                        <w:right w:val="none" w:sz="0" w:space="0" w:color="auto"/>
                      </w:divBdr>
                      <w:divsChild>
                        <w:div w:id="718168548">
                          <w:marLeft w:val="0"/>
                          <w:marRight w:val="0"/>
                          <w:marTop w:val="600"/>
                          <w:marBottom w:val="0"/>
                          <w:divBdr>
                            <w:top w:val="none" w:sz="0" w:space="0" w:color="auto"/>
                            <w:left w:val="none" w:sz="0" w:space="0" w:color="auto"/>
                            <w:bottom w:val="none" w:sz="0" w:space="0" w:color="auto"/>
                            <w:right w:val="none" w:sz="0" w:space="0" w:color="auto"/>
                          </w:divBdr>
                          <w:divsChild>
                            <w:div w:id="243804788">
                              <w:marLeft w:val="750"/>
                              <w:marRight w:val="0"/>
                              <w:marTop w:val="0"/>
                              <w:marBottom w:val="0"/>
                              <w:divBdr>
                                <w:top w:val="none" w:sz="0" w:space="0" w:color="auto"/>
                                <w:left w:val="none" w:sz="0" w:space="0" w:color="auto"/>
                                <w:bottom w:val="none" w:sz="0" w:space="0" w:color="auto"/>
                                <w:right w:val="none" w:sz="0" w:space="0" w:color="auto"/>
                              </w:divBdr>
                              <w:divsChild>
                                <w:div w:id="1166557759">
                                  <w:marLeft w:val="0"/>
                                  <w:marRight w:val="0"/>
                                  <w:marTop w:val="0"/>
                                  <w:marBottom w:val="0"/>
                                  <w:divBdr>
                                    <w:top w:val="none" w:sz="0" w:space="0" w:color="auto"/>
                                    <w:left w:val="none" w:sz="0" w:space="0" w:color="auto"/>
                                    <w:bottom w:val="none" w:sz="0" w:space="0" w:color="auto"/>
                                    <w:right w:val="none" w:sz="0" w:space="0" w:color="auto"/>
                                  </w:divBdr>
                                  <w:divsChild>
                                    <w:div w:id="410811409">
                                      <w:marLeft w:val="0"/>
                                      <w:marRight w:val="0"/>
                                      <w:marTop w:val="0"/>
                                      <w:marBottom w:val="0"/>
                                      <w:divBdr>
                                        <w:top w:val="none" w:sz="0" w:space="0" w:color="auto"/>
                                        <w:left w:val="none" w:sz="0" w:space="0" w:color="auto"/>
                                        <w:bottom w:val="none" w:sz="0" w:space="0" w:color="auto"/>
                                        <w:right w:val="none" w:sz="0" w:space="0" w:color="auto"/>
                                      </w:divBdr>
                                      <w:divsChild>
                                        <w:div w:id="198974343">
                                          <w:marLeft w:val="0"/>
                                          <w:marRight w:val="0"/>
                                          <w:marTop w:val="0"/>
                                          <w:marBottom w:val="0"/>
                                          <w:divBdr>
                                            <w:top w:val="none" w:sz="0" w:space="0" w:color="auto"/>
                                            <w:left w:val="none" w:sz="0" w:space="0" w:color="auto"/>
                                            <w:bottom w:val="none" w:sz="0" w:space="0" w:color="auto"/>
                                            <w:right w:val="none" w:sz="0" w:space="0" w:color="auto"/>
                                          </w:divBdr>
                                          <w:divsChild>
                                            <w:div w:id="55516409">
                                              <w:marLeft w:val="0"/>
                                              <w:marRight w:val="0"/>
                                              <w:marTop w:val="0"/>
                                              <w:marBottom w:val="0"/>
                                              <w:divBdr>
                                                <w:top w:val="none" w:sz="0" w:space="0" w:color="auto"/>
                                                <w:left w:val="none" w:sz="0" w:space="0" w:color="auto"/>
                                                <w:bottom w:val="none" w:sz="0" w:space="0" w:color="auto"/>
                                                <w:right w:val="none" w:sz="0" w:space="0" w:color="auto"/>
                                              </w:divBdr>
                                              <w:divsChild>
                                                <w:div w:id="562758179">
                                                  <w:marLeft w:val="0"/>
                                                  <w:marRight w:val="0"/>
                                                  <w:marTop w:val="0"/>
                                                  <w:marBottom w:val="0"/>
                                                  <w:divBdr>
                                                    <w:top w:val="none" w:sz="0" w:space="0" w:color="auto"/>
                                                    <w:left w:val="none" w:sz="0" w:space="0" w:color="auto"/>
                                                    <w:bottom w:val="none" w:sz="0" w:space="0" w:color="auto"/>
                                                    <w:right w:val="none" w:sz="0" w:space="0" w:color="auto"/>
                                                  </w:divBdr>
                                                  <w:divsChild>
                                                    <w:div w:id="61757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8733948">
      <w:bodyDiv w:val="1"/>
      <w:marLeft w:val="0"/>
      <w:marRight w:val="0"/>
      <w:marTop w:val="0"/>
      <w:marBottom w:val="0"/>
      <w:divBdr>
        <w:top w:val="none" w:sz="0" w:space="0" w:color="auto"/>
        <w:left w:val="none" w:sz="0" w:space="0" w:color="auto"/>
        <w:bottom w:val="none" w:sz="0" w:space="0" w:color="auto"/>
        <w:right w:val="none" w:sz="0" w:space="0" w:color="auto"/>
      </w:divBdr>
      <w:divsChild>
        <w:div w:id="1083642192">
          <w:marLeft w:val="0"/>
          <w:marRight w:val="0"/>
          <w:marTop w:val="0"/>
          <w:marBottom w:val="0"/>
          <w:divBdr>
            <w:top w:val="none" w:sz="0" w:space="0" w:color="auto"/>
            <w:left w:val="none" w:sz="0" w:space="0" w:color="auto"/>
            <w:bottom w:val="none" w:sz="0" w:space="0" w:color="auto"/>
            <w:right w:val="none" w:sz="0" w:space="0" w:color="auto"/>
          </w:divBdr>
          <w:divsChild>
            <w:div w:id="1636791452">
              <w:marLeft w:val="0"/>
              <w:marRight w:val="0"/>
              <w:marTop w:val="0"/>
              <w:marBottom w:val="0"/>
              <w:divBdr>
                <w:top w:val="none" w:sz="0" w:space="0" w:color="auto"/>
                <w:left w:val="none" w:sz="0" w:space="0" w:color="auto"/>
                <w:bottom w:val="none" w:sz="0" w:space="0" w:color="auto"/>
                <w:right w:val="none" w:sz="0" w:space="0" w:color="auto"/>
              </w:divBdr>
              <w:divsChild>
                <w:div w:id="991301058">
                  <w:marLeft w:val="0"/>
                  <w:marRight w:val="0"/>
                  <w:marTop w:val="100"/>
                  <w:marBottom w:val="100"/>
                  <w:divBdr>
                    <w:top w:val="none" w:sz="0" w:space="0" w:color="auto"/>
                    <w:left w:val="none" w:sz="0" w:space="0" w:color="auto"/>
                    <w:bottom w:val="none" w:sz="0" w:space="0" w:color="auto"/>
                    <w:right w:val="none" w:sz="0" w:space="0" w:color="auto"/>
                  </w:divBdr>
                  <w:divsChild>
                    <w:div w:id="1366059884">
                      <w:marLeft w:val="0"/>
                      <w:marRight w:val="0"/>
                      <w:marTop w:val="0"/>
                      <w:marBottom w:val="0"/>
                      <w:divBdr>
                        <w:top w:val="none" w:sz="0" w:space="0" w:color="auto"/>
                        <w:left w:val="none" w:sz="0" w:space="0" w:color="auto"/>
                        <w:bottom w:val="none" w:sz="0" w:space="0" w:color="auto"/>
                        <w:right w:val="none" w:sz="0" w:space="0" w:color="auto"/>
                      </w:divBdr>
                      <w:divsChild>
                        <w:div w:id="1141271675">
                          <w:marLeft w:val="0"/>
                          <w:marRight w:val="0"/>
                          <w:marTop w:val="600"/>
                          <w:marBottom w:val="0"/>
                          <w:divBdr>
                            <w:top w:val="none" w:sz="0" w:space="0" w:color="auto"/>
                            <w:left w:val="none" w:sz="0" w:space="0" w:color="auto"/>
                            <w:bottom w:val="none" w:sz="0" w:space="0" w:color="auto"/>
                            <w:right w:val="none" w:sz="0" w:space="0" w:color="auto"/>
                          </w:divBdr>
                          <w:divsChild>
                            <w:div w:id="264846806">
                              <w:marLeft w:val="750"/>
                              <w:marRight w:val="0"/>
                              <w:marTop w:val="0"/>
                              <w:marBottom w:val="0"/>
                              <w:divBdr>
                                <w:top w:val="none" w:sz="0" w:space="0" w:color="auto"/>
                                <w:left w:val="none" w:sz="0" w:space="0" w:color="auto"/>
                                <w:bottom w:val="none" w:sz="0" w:space="0" w:color="auto"/>
                                <w:right w:val="none" w:sz="0" w:space="0" w:color="auto"/>
                              </w:divBdr>
                              <w:divsChild>
                                <w:div w:id="1310748997">
                                  <w:marLeft w:val="0"/>
                                  <w:marRight w:val="0"/>
                                  <w:marTop w:val="0"/>
                                  <w:marBottom w:val="0"/>
                                  <w:divBdr>
                                    <w:top w:val="none" w:sz="0" w:space="0" w:color="auto"/>
                                    <w:left w:val="none" w:sz="0" w:space="0" w:color="auto"/>
                                    <w:bottom w:val="none" w:sz="0" w:space="0" w:color="auto"/>
                                    <w:right w:val="none" w:sz="0" w:space="0" w:color="auto"/>
                                  </w:divBdr>
                                  <w:divsChild>
                                    <w:div w:id="275404281">
                                      <w:marLeft w:val="0"/>
                                      <w:marRight w:val="0"/>
                                      <w:marTop w:val="0"/>
                                      <w:marBottom w:val="0"/>
                                      <w:divBdr>
                                        <w:top w:val="none" w:sz="0" w:space="0" w:color="auto"/>
                                        <w:left w:val="none" w:sz="0" w:space="0" w:color="auto"/>
                                        <w:bottom w:val="none" w:sz="0" w:space="0" w:color="auto"/>
                                        <w:right w:val="none" w:sz="0" w:space="0" w:color="auto"/>
                                      </w:divBdr>
                                      <w:divsChild>
                                        <w:div w:id="1849441471">
                                          <w:marLeft w:val="0"/>
                                          <w:marRight w:val="0"/>
                                          <w:marTop w:val="0"/>
                                          <w:marBottom w:val="0"/>
                                          <w:divBdr>
                                            <w:top w:val="none" w:sz="0" w:space="0" w:color="auto"/>
                                            <w:left w:val="none" w:sz="0" w:space="0" w:color="auto"/>
                                            <w:bottom w:val="none" w:sz="0" w:space="0" w:color="auto"/>
                                            <w:right w:val="none" w:sz="0" w:space="0" w:color="auto"/>
                                          </w:divBdr>
                                          <w:divsChild>
                                            <w:div w:id="669019063">
                                              <w:marLeft w:val="0"/>
                                              <w:marRight w:val="0"/>
                                              <w:marTop w:val="0"/>
                                              <w:marBottom w:val="0"/>
                                              <w:divBdr>
                                                <w:top w:val="none" w:sz="0" w:space="0" w:color="auto"/>
                                                <w:left w:val="none" w:sz="0" w:space="0" w:color="auto"/>
                                                <w:bottom w:val="none" w:sz="0" w:space="0" w:color="auto"/>
                                                <w:right w:val="none" w:sz="0" w:space="0" w:color="auto"/>
                                              </w:divBdr>
                                              <w:divsChild>
                                                <w:div w:id="652372714">
                                                  <w:marLeft w:val="0"/>
                                                  <w:marRight w:val="0"/>
                                                  <w:marTop w:val="0"/>
                                                  <w:marBottom w:val="0"/>
                                                  <w:divBdr>
                                                    <w:top w:val="none" w:sz="0" w:space="0" w:color="auto"/>
                                                    <w:left w:val="none" w:sz="0" w:space="0" w:color="auto"/>
                                                    <w:bottom w:val="none" w:sz="0" w:space="0" w:color="auto"/>
                                                    <w:right w:val="none" w:sz="0" w:space="0" w:color="auto"/>
                                                  </w:divBdr>
                                                  <w:divsChild>
                                                    <w:div w:id="10716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90616285">
      <w:bodyDiv w:val="1"/>
      <w:marLeft w:val="0"/>
      <w:marRight w:val="0"/>
      <w:marTop w:val="0"/>
      <w:marBottom w:val="0"/>
      <w:divBdr>
        <w:top w:val="none" w:sz="0" w:space="0" w:color="auto"/>
        <w:left w:val="none" w:sz="0" w:space="0" w:color="auto"/>
        <w:bottom w:val="none" w:sz="0" w:space="0" w:color="auto"/>
        <w:right w:val="none" w:sz="0" w:space="0" w:color="auto"/>
      </w:divBdr>
      <w:divsChild>
        <w:div w:id="594172169">
          <w:marLeft w:val="0"/>
          <w:marRight w:val="0"/>
          <w:marTop w:val="0"/>
          <w:marBottom w:val="0"/>
          <w:divBdr>
            <w:top w:val="none" w:sz="0" w:space="0" w:color="auto"/>
            <w:left w:val="none" w:sz="0" w:space="0" w:color="auto"/>
            <w:bottom w:val="none" w:sz="0" w:space="0" w:color="auto"/>
            <w:right w:val="none" w:sz="0" w:space="0" w:color="auto"/>
          </w:divBdr>
          <w:divsChild>
            <w:div w:id="2107770518">
              <w:marLeft w:val="0"/>
              <w:marRight w:val="0"/>
              <w:marTop w:val="0"/>
              <w:marBottom w:val="0"/>
              <w:divBdr>
                <w:top w:val="none" w:sz="0" w:space="0" w:color="auto"/>
                <w:left w:val="none" w:sz="0" w:space="0" w:color="auto"/>
                <w:bottom w:val="none" w:sz="0" w:space="0" w:color="auto"/>
                <w:right w:val="none" w:sz="0" w:space="0" w:color="auto"/>
              </w:divBdr>
              <w:divsChild>
                <w:div w:id="426269349">
                  <w:marLeft w:val="0"/>
                  <w:marRight w:val="0"/>
                  <w:marTop w:val="100"/>
                  <w:marBottom w:val="100"/>
                  <w:divBdr>
                    <w:top w:val="none" w:sz="0" w:space="0" w:color="auto"/>
                    <w:left w:val="none" w:sz="0" w:space="0" w:color="auto"/>
                    <w:bottom w:val="none" w:sz="0" w:space="0" w:color="auto"/>
                    <w:right w:val="none" w:sz="0" w:space="0" w:color="auto"/>
                  </w:divBdr>
                  <w:divsChild>
                    <w:div w:id="120853983">
                      <w:marLeft w:val="0"/>
                      <w:marRight w:val="0"/>
                      <w:marTop w:val="0"/>
                      <w:marBottom w:val="0"/>
                      <w:divBdr>
                        <w:top w:val="none" w:sz="0" w:space="0" w:color="auto"/>
                        <w:left w:val="none" w:sz="0" w:space="0" w:color="auto"/>
                        <w:bottom w:val="none" w:sz="0" w:space="0" w:color="auto"/>
                        <w:right w:val="none" w:sz="0" w:space="0" w:color="auto"/>
                      </w:divBdr>
                      <w:divsChild>
                        <w:div w:id="556817418">
                          <w:marLeft w:val="0"/>
                          <w:marRight w:val="0"/>
                          <w:marTop w:val="600"/>
                          <w:marBottom w:val="0"/>
                          <w:divBdr>
                            <w:top w:val="none" w:sz="0" w:space="0" w:color="auto"/>
                            <w:left w:val="none" w:sz="0" w:space="0" w:color="auto"/>
                            <w:bottom w:val="none" w:sz="0" w:space="0" w:color="auto"/>
                            <w:right w:val="none" w:sz="0" w:space="0" w:color="auto"/>
                          </w:divBdr>
                          <w:divsChild>
                            <w:div w:id="154952915">
                              <w:marLeft w:val="750"/>
                              <w:marRight w:val="0"/>
                              <w:marTop w:val="0"/>
                              <w:marBottom w:val="0"/>
                              <w:divBdr>
                                <w:top w:val="none" w:sz="0" w:space="0" w:color="auto"/>
                                <w:left w:val="none" w:sz="0" w:space="0" w:color="auto"/>
                                <w:bottom w:val="none" w:sz="0" w:space="0" w:color="auto"/>
                                <w:right w:val="none" w:sz="0" w:space="0" w:color="auto"/>
                              </w:divBdr>
                              <w:divsChild>
                                <w:div w:id="879973932">
                                  <w:marLeft w:val="0"/>
                                  <w:marRight w:val="0"/>
                                  <w:marTop w:val="0"/>
                                  <w:marBottom w:val="0"/>
                                  <w:divBdr>
                                    <w:top w:val="none" w:sz="0" w:space="0" w:color="auto"/>
                                    <w:left w:val="none" w:sz="0" w:space="0" w:color="auto"/>
                                    <w:bottom w:val="none" w:sz="0" w:space="0" w:color="auto"/>
                                    <w:right w:val="none" w:sz="0" w:space="0" w:color="auto"/>
                                  </w:divBdr>
                                  <w:divsChild>
                                    <w:div w:id="1755662042">
                                      <w:marLeft w:val="0"/>
                                      <w:marRight w:val="0"/>
                                      <w:marTop w:val="0"/>
                                      <w:marBottom w:val="0"/>
                                      <w:divBdr>
                                        <w:top w:val="none" w:sz="0" w:space="0" w:color="auto"/>
                                        <w:left w:val="none" w:sz="0" w:space="0" w:color="auto"/>
                                        <w:bottom w:val="none" w:sz="0" w:space="0" w:color="auto"/>
                                        <w:right w:val="none" w:sz="0" w:space="0" w:color="auto"/>
                                      </w:divBdr>
                                      <w:divsChild>
                                        <w:div w:id="1092362645">
                                          <w:marLeft w:val="0"/>
                                          <w:marRight w:val="0"/>
                                          <w:marTop w:val="0"/>
                                          <w:marBottom w:val="0"/>
                                          <w:divBdr>
                                            <w:top w:val="none" w:sz="0" w:space="0" w:color="auto"/>
                                            <w:left w:val="none" w:sz="0" w:space="0" w:color="auto"/>
                                            <w:bottom w:val="none" w:sz="0" w:space="0" w:color="auto"/>
                                            <w:right w:val="none" w:sz="0" w:space="0" w:color="auto"/>
                                          </w:divBdr>
                                          <w:divsChild>
                                            <w:div w:id="835656647">
                                              <w:marLeft w:val="0"/>
                                              <w:marRight w:val="0"/>
                                              <w:marTop w:val="0"/>
                                              <w:marBottom w:val="0"/>
                                              <w:divBdr>
                                                <w:top w:val="none" w:sz="0" w:space="0" w:color="auto"/>
                                                <w:left w:val="none" w:sz="0" w:space="0" w:color="auto"/>
                                                <w:bottom w:val="none" w:sz="0" w:space="0" w:color="auto"/>
                                                <w:right w:val="none" w:sz="0" w:space="0" w:color="auto"/>
                                              </w:divBdr>
                                              <w:divsChild>
                                                <w:div w:id="1456411974">
                                                  <w:marLeft w:val="0"/>
                                                  <w:marRight w:val="0"/>
                                                  <w:marTop w:val="0"/>
                                                  <w:marBottom w:val="0"/>
                                                  <w:divBdr>
                                                    <w:top w:val="none" w:sz="0" w:space="0" w:color="auto"/>
                                                    <w:left w:val="none" w:sz="0" w:space="0" w:color="auto"/>
                                                    <w:bottom w:val="none" w:sz="0" w:space="0" w:color="auto"/>
                                                    <w:right w:val="none" w:sz="0" w:space="0" w:color="auto"/>
                                                  </w:divBdr>
                                                  <w:divsChild>
                                                    <w:div w:id="82667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9657970">
      <w:bodyDiv w:val="1"/>
      <w:marLeft w:val="0"/>
      <w:marRight w:val="0"/>
      <w:marTop w:val="0"/>
      <w:marBottom w:val="0"/>
      <w:divBdr>
        <w:top w:val="none" w:sz="0" w:space="0" w:color="auto"/>
        <w:left w:val="none" w:sz="0" w:space="0" w:color="auto"/>
        <w:bottom w:val="none" w:sz="0" w:space="0" w:color="auto"/>
        <w:right w:val="none" w:sz="0" w:space="0" w:color="auto"/>
      </w:divBdr>
      <w:divsChild>
        <w:div w:id="1747070899">
          <w:marLeft w:val="0"/>
          <w:marRight w:val="0"/>
          <w:marTop w:val="0"/>
          <w:marBottom w:val="0"/>
          <w:divBdr>
            <w:top w:val="none" w:sz="0" w:space="0" w:color="auto"/>
            <w:left w:val="none" w:sz="0" w:space="0" w:color="auto"/>
            <w:bottom w:val="none" w:sz="0" w:space="0" w:color="auto"/>
            <w:right w:val="none" w:sz="0" w:space="0" w:color="auto"/>
          </w:divBdr>
          <w:divsChild>
            <w:div w:id="1253854346">
              <w:marLeft w:val="0"/>
              <w:marRight w:val="0"/>
              <w:marTop w:val="0"/>
              <w:marBottom w:val="0"/>
              <w:divBdr>
                <w:top w:val="none" w:sz="0" w:space="0" w:color="auto"/>
                <w:left w:val="none" w:sz="0" w:space="0" w:color="auto"/>
                <w:bottom w:val="none" w:sz="0" w:space="0" w:color="auto"/>
                <w:right w:val="none" w:sz="0" w:space="0" w:color="auto"/>
              </w:divBdr>
              <w:divsChild>
                <w:div w:id="2141528715">
                  <w:marLeft w:val="0"/>
                  <w:marRight w:val="0"/>
                  <w:marTop w:val="100"/>
                  <w:marBottom w:val="100"/>
                  <w:divBdr>
                    <w:top w:val="none" w:sz="0" w:space="0" w:color="auto"/>
                    <w:left w:val="none" w:sz="0" w:space="0" w:color="auto"/>
                    <w:bottom w:val="none" w:sz="0" w:space="0" w:color="auto"/>
                    <w:right w:val="none" w:sz="0" w:space="0" w:color="auto"/>
                  </w:divBdr>
                  <w:divsChild>
                    <w:div w:id="1395934413">
                      <w:marLeft w:val="0"/>
                      <w:marRight w:val="0"/>
                      <w:marTop w:val="0"/>
                      <w:marBottom w:val="0"/>
                      <w:divBdr>
                        <w:top w:val="none" w:sz="0" w:space="0" w:color="auto"/>
                        <w:left w:val="none" w:sz="0" w:space="0" w:color="auto"/>
                        <w:bottom w:val="none" w:sz="0" w:space="0" w:color="auto"/>
                        <w:right w:val="none" w:sz="0" w:space="0" w:color="auto"/>
                      </w:divBdr>
                      <w:divsChild>
                        <w:div w:id="174809968">
                          <w:marLeft w:val="0"/>
                          <w:marRight w:val="0"/>
                          <w:marTop w:val="600"/>
                          <w:marBottom w:val="0"/>
                          <w:divBdr>
                            <w:top w:val="none" w:sz="0" w:space="0" w:color="auto"/>
                            <w:left w:val="none" w:sz="0" w:space="0" w:color="auto"/>
                            <w:bottom w:val="none" w:sz="0" w:space="0" w:color="auto"/>
                            <w:right w:val="none" w:sz="0" w:space="0" w:color="auto"/>
                          </w:divBdr>
                          <w:divsChild>
                            <w:div w:id="1658533769">
                              <w:marLeft w:val="750"/>
                              <w:marRight w:val="0"/>
                              <w:marTop w:val="0"/>
                              <w:marBottom w:val="0"/>
                              <w:divBdr>
                                <w:top w:val="none" w:sz="0" w:space="0" w:color="auto"/>
                                <w:left w:val="none" w:sz="0" w:space="0" w:color="auto"/>
                                <w:bottom w:val="none" w:sz="0" w:space="0" w:color="auto"/>
                                <w:right w:val="none" w:sz="0" w:space="0" w:color="auto"/>
                              </w:divBdr>
                              <w:divsChild>
                                <w:div w:id="944263146">
                                  <w:marLeft w:val="0"/>
                                  <w:marRight w:val="0"/>
                                  <w:marTop w:val="0"/>
                                  <w:marBottom w:val="0"/>
                                  <w:divBdr>
                                    <w:top w:val="none" w:sz="0" w:space="0" w:color="auto"/>
                                    <w:left w:val="none" w:sz="0" w:space="0" w:color="auto"/>
                                    <w:bottom w:val="none" w:sz="0" w:space="0" w:color="auto"/>
                                    <w:right w:val="none" w:sz="0" w:space="0" w:color="auto"/>
                                  </w:divBdr>
                                  <w:divsChild>
                                    <w:div w:id="1051152551">
                                      <w:marLeft w:val="0"/>
                                      <w:marRight w:val="0"/>
                                      <w:marTop w:val="0"/>
                                      <w:marBottom w:val="0"/>
                                      <w:divBdr>
                                        <w:top w:val="none" w:sz="0" w:space="0" w:color="auto"/>
                                        <w:left w:val="none" w:sz="0" w:space="0" w:color="auto"/>
                                        <w:bottom w:val="none" w:sz="0" w:space="0" w:color="auto"/>
                                        <w:right w:val="none" w:sz="0" w:space="0" w:color="auto"/>
                                      </w:divBdr>
                                      <w:divsChild>
                                        <w:div w:id="1909875557">
                                          <w:marLeft w:val="0"/>
                                          <w:marRight w:val="0"/>
                                          <w:marTop w:val="0"/>
                                          <w:marBottom w:val="0"/>
                                          <w:divBdr>
                                            <w:top w:val="none" w:sz="0" w:space="0" w:color="auto"/>
                                            <w:left w:val="none" w:sz="0" w:space="0" w:color="auto"/>
                                            <w:bottom w:val="none" w:sz="0" w:space="0" w:color="auto"/>
                                            <w:right w:val="none" w:sz="0" w:space="0" w:color="auto"/>
                                          </w:divBdr>
                                          <w:divsChild>
                                            <w:div w:id="1667249048">
                                              <w:marLeft w:val="0"/>
                                              <w:marRight w:val="0"/>
                                              <w:marTop w:val="0"/>
                                              <w:marBottom w:val="0"/>
                                              <w:divBdr>
                                                <w:top w:val="none" w:sz="0" w:space="0" w:color="auto"/>
                                                <w:left w:val="none" w:sz="0" w:space="0" w:color="auto"/>
                                                <w:bottom w:val="none" w:sz="0" w:space="0" w:color="auto"/>
                                                <w:right w:val="none" w:sz="0" w:space="0" w:color="auto"/>
                                              </w:divBdr>
                                              <w:divsChild>
                                                <w:div w:id="1229269931">
                                                  <w:marLeft w:val="0"/>
                                                  <w:marRight w:val="0"/>
                                                  <w:marTop w:val="0"/>
                                                  <w:marBottom w:val="0"/>
                                                  <w:divBdr>
                                                    <w:top w:val="none" w:sz="0" w:space="0" w:color="auto"/>
                                                    <w:left w:val="none" w:sz="0" w:space="0" w:color="auto"/>
                                                    <w:bottom w:val="none" w:sz="0" w:space="0" w:color="auto"/>
                                                    <w:right w:val="none" w:sz="0" w:space="0" w:color="auto"/>
                                                  </w:divBdr>
                                                  <w:divsChild>
                                                    <w:div w:id="528683591">
                                                      <w:marLeft w:val="0"/>
                                                      <w:marRight w:val="0"/>
                                                      <w:marTop w:val="0"/>
                                                      <w:marBottom w:val="0"/>
                                                      <w:divBdr>
                                                        <w:top w:val="none" w:sz="0" w:space="0" w:color="auto"/>
                                                        <w:left w:val="none" w:sz="0" w:space="0" w:color="auto"/>
                                                        <w:bottom w:val="none" w:sz="0" w:space="0" w:color="auto"/>
                                                        <w:right w:val="none" w:sz="0" w:space="0" w:color="auto"/>
                                                      </w:divBdr>
                                                      <w:divsChild>
                                                        <w:div w:id="46743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561</Words>
  <Characters>3199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2016-01-19T05:02:00Z</dcterms:created>
  <dcterms:modified xsi:type="dcterms:W3CDTF">2016-01-19T05:02:00Z</dcterms:modified>
</cp:coreProperties>
</file>