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BD3888">
        <w:rPr>
          <w:rFonts w:ascii="Arial" w:hAnsi="Arial"/>
          <w:b/>
          <w:sz w:val="28"/>
          <w:szCs w:val="28"/>
        </w:rPr>
        <w:t>Investment</w:t>
      </w:r>
      <w:r w:rsidR="005F396D">
        <w:rPr>
          <w:rFonts w:ascii="Arial" w:hAnsi="Arial"/>
          <w:b/>
          <w:sz w:val="28"/>
          <w:szCs w:val="28"/>
        </w:rPr>
        <w:t xml:space="preserve"> </w:t>
      </w:r>
      <w:r w:rsidR="00BD3888">
        <w:rPr>
          <w:rFonts w:ascii="Arial" w:hAnsi="Arial"/>
          <w:b/>
          <w:sz w:val="28"/>
          <w:szCs w:val="28"/>
        </w:rPr>
        <w:t>Monitor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C9312D" w:rsidP="00454BB1">
      <w:pPr>
        <w:jc w:val="center"/>
        <w:rPr>
          <w:rFonts w:ascii="Arial" w:hAnsi="Arial"/>
          <w:b/>
        </w:rPr>
      </w:pPr>
      <w:r>
        <w:rPr>
          <w:rFonts w:ascii="Arial" w:hAnsi="Arial"/>
          <w:b/>
        </w:rPr>
        <w:t>January 2012</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7"/>
          <w:footerReference w:type="default" r:id="rId8"/>
          <w:pgSz w:w="12240" w:h="15840"/>
          <w:pgMar w:top="3649" w:right="474" w:bottom="1440" w:left="426" w:header="2127" w:footer="2836" w:gutter="0"/>
          <w:cols w:space="708"/>
          <w:docGrid w:linePitch="360"/>
        </w:sectPr>
      </w:pPr>
      <w:r>
        <w:rPr>
          <w:rFonts w:ascii="Arial" w:hAnsi="Arial"/>
        </w:rPr>
        <w:br w:type="page"/>
      </w:r>
    </w:p>
    <w:p w:rsidR="00C9312D" w:rsidRPr="00280844" w:rsidRDefault="00C9312D" w:rsidP="00C9312D">
      <w:pPr>
        <w:rPr>
          <w:rFonts w:ascii="Arial" w:hAnsi="Arial"/>
          <w:b/>
          <w:bCs/>
          <w:sz w:val="28"/>
          <w:szCs w:val="28"/>
        </w:rPr>
      </w:pPr>
      <w:r w:rsidRPr="00280844">
        <w:rPr>
          <w:rFonts w:ascii="Arial" w:hAnsi="Arial"/>
          <w:b/>
          <w:bCs/>
          <w:sz w:val="28"/>
          <w:szCs w:val="28"/>
        </w:rPr>
        <w:lastRenderedPageBreak/>
        <w:t>Expectations of weaker rand boost KwaZulu-Natal fixed investment</w:t>
      </w:r>
    </w:p>
    <w:p w:rsidR="00C9312D" w:rsidRDefault="00C9312D" w:rsidP="00026014">
      <w:pPr>
        <w:spacing w:before="100" w:beforeAutospacing="1" w:after="100" w:afterAutospacing="1"/>
        <w:rPr>
          <w:rFonts w:ascii="Arial" w:hAnsi="Arial"/>
        </w:rPr>
      </w:pPr>
      <w:r>
        <w:rPr>
          <w:noProof/>
          <w:lang w:val="en-ZA" w:eastAsia="en-ZA"/>
        </w:rPr>
        <w:drawing>
          <wp:inline distT="0" distB="0" distL="0" distR="0">
            <wp:extent cx="5943600" cy="3880485"/>
            <wp:effectExtent l="0" t="0" r="19050" b="247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9312D" w:rsidRPr="00C9312D" w:rsidRDefault="00C9312D" w:rsidP="00280844">
      <w:pPr>
        <w:spacing w:line="240" w:lineRule="auto"/>
        <w:rPr>
          <w:rFonts w:ascii="Arial" w:hAnsi="Arial"/>
          <w:szCs w:val="20"/>
        </w:rPr>
      </w:pPr>
    </w:p>
    <w:p w:rsidR="00C9312D" w:rsidRPr="00C9312D" w:rsidRDefault="00C9312D" w:rsidP="00280844">
      <w:pPr>
        <w:spacing w:line="240" w:lineRule="auto"/>
        <w:rPr>
          <w:rFonts w:ascii="Arial" w:hAnsi="Arial"/>
          <w:szCs w:val="20"/>
        </w:rPr>
      </w:pPr>
      <w:r w:rsidRPr="00C9312D">
        <w:rPr>
          <w:rFonts w:ascii="Arial" w:hAnsi="Arial"/>
          <w:szCs w:val="20"/>
        </w:rPr>
        <w:t>Expectations that the rand’s exchange rate will weaken again this year has helped to boost fixed investment in KwaZulu-Natal in January.</w:t>
      </w:r>
    </w:p>
    <w:p w:rsidR="00C9312D" w:rsidRPr="00C9312D" w:rsidRDefault="00C9312D" w:rsidP="00280844">
      <w:pPr>
        <w:spacing w:line="240" w:lineRule="auto"/>
        <w:rPr>
          <w:rFonts w:ascii="Arial" w:hAnsi="Arial"/>
          <w:szCs w:val="20"/>
        </w:rPr>
      </w:pPr>
      <w:r w:rsidRPr="00C9312D">
        <w:rPr>
          <w:rFonts w:ascii="Arial" w:hAnsi="Arial"/>
          <w:szCs w:val="20"/>
        </w:rPr>
        <w:t xml:space="preserve">The latest KwaZulu-Natal fixed investment monitor, as compiled by Mike </w:t>
      </w:r>
      <w:proofErr w:type="spellStart"/>
      <w:r w:rsidRPr="00C9312D">
        <w:rPr>
          <w:rFonts w:ascii="Arial" w:hAnsi="Arial"/>
          <w:szCs w:val="20"/>
        </w:rPr>
        <w:t>Schüssler</w:t>
      </w:r>
      <w:proofErr w:type="spellEnd"/>
      <w:r w:rsidRPr="00C9312D">
        <w:rPr>
          <w:rFonts w:ascii="Arial" w:hAnsi="Arial"/>
          <w:szCs w:val="20"/>
        </w:rPr>
        <w:t xml:space="preserve"> of Economists.co.za, showed overall fixed investment in the province is still increasing rapidly. In January the total investment index increased by 24.4% year-on-year and 11.1% quarter-on-quarter. This was largely due to exceptional growth rates in imported fixed investment goods, which was driven by the perceived strong exchange rate and the expectation that it will weaken later to boost competitiveness in the KwaZulu-Natal economy and its industries.</w:t>
      </w:r>
    </w:p>
    <w:p w:rsidR="00C9312D" w:rsidRPr="00C9312D" w:rsidRDefault="00C9312D" w:rsidP="00280844">
      <w:pPr>
        <w:spacing w:line="240" w:lineRule="auto"/>
        <w:rPr>
          <w:rFonts w:ascii="Arial" w:hAnsi="Arial"/>
          <w:szCs w:val="20"/>
        </w:rPr>
      </w:pPr>
    </w:p>
    <w:p w:rsidR="00C9312D" w:rsidRPr="00C9312D" w:rsidRDefault="00C9312D" w:rsidP="00280844">
      <w:pPr>
        <w:spacing w:line="240" w:lineRule="auto"/>
        <w:rPr>
          <w:rFonts w:ascii="Arial" w:hAnsi="Arial"/>
          <w:b/>
          <w:szCs w:val="20"/>
        </w:rPr>
      </w:pPr>
      <w:proofErr w:type="spellStart"/>
      <w:r w:rsidRPr="00C9312D">
        <w:rPr>
          <w:rFonts w:ascii="Arial" w:hAnsi="Arial"/>
          <w:b/>
          <w:szCs w:val="20"/>
        </w:rPr>
        <w:t>Aeroplane</w:t>
      </w:r>
      <w:proofErr w:type="spellEnd"/>
      <w:r w:rsidRPr="00C9312D">
        <w:rPr>
          <w:rFonts w:ascii="Arial" w:hAnsi="Arial"/>
          <w:b/>
          <w:szCs w:val="20"/>
        </w:rPr>
        <w:t xml:space="preserve"> sales elevating transport equipment investment</w:t>
      </w:r>
    </w:p>
    <w:p w:rsidR="00C9312D" w:rsidRPr="00C9312D" w:rsidRDefault="00C9312D" w:rsidP="00280844">
      <w:pPr>
        <w:spacing w:line="240" w:lineRule="auto"/>
        <w:rPr>
          <w:rFonts w:ascii="Arial" w:hAnsi="Arial"/>
          <w:szCs w:val="20"/>
        </w:rPr>
      </w:pPr>
      <w:r w:rsidRPr="00C9312D">
        <w:rPr>
          <w:rFonts w:ascii="Arial" w:hAnsi="Arial"/>
          <w:szCs w:val="20"/>
        </w:rPr>
        <w:t xml:space="preserve">Transport equipment investment was one of the fixed investment categories in KwaZulu-Natal which showed strong growth in especially imported goods. This investment category grew with double-digits year-on-year for the sixth consecutive month, this time by 52.1%, and by 3.3% quarter-on-quarter. </w:t>
      </w:r>
      <w:r w:rsidR="00280844">
        <w:rPr>
          <w:rFonts w:ascii="Arial" w:hAnsi="Arial"/>
          <w:szCs w:val="20"/>
        </w:rPr>
        <w:t>See Results Table below.</w:t>
      </w:r>
    </w:p>
    <w:p w:rsidR="00C9312D" w:rsidRPr="00C9312D" w:rsidRDefault="00C9312D" w:rsidP="00280844">
      <w:pPr>
        <w:spacing w:line="240" w:lineRule="auto"/>
        <w:rPr>
          <w:rFonts w:ascii="Arial" w:hAnsi="Arial"/>
          <w:szCs w:val="20"/>
        </w:rPr>
      </w:pPr>
      <w:r w:rsidRPr="00C9312D">
        <w:rPr>
          <w:rFonts w:ascii="Arial" w:hAnsi="Arial"/>
          <w:szCs w:val="20"/>
        </w:rPr>
        <w:t xml:space="preserve">Countrywide, </w:t>
      </w:r>
      <w:proofErr w:type="spellStart"/>
      <w:r w:rsidRPr="00C9312D">
        <w:rPr>
          <w:rFonts w:ascii="Arial" w:hAnsi="Arial"/>
          <w:szCs w:val="20"/>
        </w:rPr>
        <w:t>aeroplane</w:t>
      </w:r>
      <w:proofErr w:type="spellEnd"/>
      <w:r w:rsidRPr="00C9312D">
        <w:rPr>
          <w:rFonts w:ascii="Arial" w:hAnsi="Arial"/>
          <w:szCs w:val="20"/>
        </w:rPr>
        <w:t xml:space="preserve"> purchases are up 30%, and purchases of </w:t>
      </w:r>
      <w:proofErr w:type="spellStart"/>
      <w:r w:rsidRPr="00C9312D">
        <w:rPr>
          <w:rFonts w:ascii="Arial" w:hAnsi="Arial"/>
          <w:szCs w:val="20"/>
        </w:rPr>
        <w:t>aeroplane</w:t>
      </w:r>
      <w:proofErr w:type="spellEnd"/>
      <w:r w:rsidRPr="00C9312D">
        <w:rPr>
          <w:rFonts w:ascii="Arial" w:hAnsi="Arial"/>
          <w:szCs w:val="20"/>
        </w:rPr>
        <w:t xml:space="preserve"> parts shot up by 395%. As these aircrafts and parts are used all over the country, a fair share is being allocated to the KwaZulu-Natal economy. This is a big driving force behind the large increases in the transport equipment category of fixed investment in the province.</w:t>
      </w:r>
    </w:p>
    <w:p w:rsidR="00C9312D" w:rsidRPr="00C9312D" w:rsidRDefault="00C9312D" w:rsidP="00280844">
      <w:pPr>
        <w:spacing w:line="240" w:lineRule="auto"/>
        <w:rPr>
          <w:rFonts w:ascii="Arial" w:hAnsi="Arial"/>
          <w:szCs w:val="20"/>
        </w:rPr>
      </w:pPr>
      <w:r w:rsidRPr="00C9312D">
        <w:rPr>
          <w:rFonts w:ascii="Arial" w:hAnsi="Arial"/>
          <w:szCs w:val="20"/>
        </w:rPr>
        <w:t>The number of trucks and busses sold in KwaZulu-Natal was up 35.8% on a year ago, compared to 35.5% the previous month.</w:t>
      </w:r>
    </w:p>
    <w:p w:rsidR="00C9312D" w:rsidRPr="00C9312D" w:rsidRDefault="00C9312D" w:rsidP="00280844">
      <w:pPr>
        <w:spacing w:line="240" w:lineRule="auto"/>
        <w:rPr>
          <w:rFonts w:ascii="Arial" w:hAnsi="Arial"/>
          <w:szCs w:val="20"/>
        </w:rPr>
      </w:pPr>
    </w:p>
    <w:p w:rsidR="00C9312D" w:rsidRPr="00C9312D" w:rsidRDefault="00C9312D" w:rsidP="00280844">
      <w:pPr>
        <w:spacing w:line="240" w:lineRule="auto"/>
        <w:rPr>
          <w:rFonts w:ascii="Arial" w:hAnsi="Arial"/>
          <w:b/>
          <w:szCs w:val="20"/>
        </w:rPr>
      </w:pPr>
      <w:r w:rsidRPr="00C9312D">
        <w:rPr>
          <w:rFonts w:ascii="Arial" w:hAnsi="Arial"/>
          <w:b/>
          <w:szCs w:val="20"/>
        </w:rPr>
        <w:t>Machinery investment boosted by expected weakening of rand</w:t>
      </w:r>
    </w:p>
    <w:p w:rsidR="00C9312D" w:rsidRPr="00C9312D" w:rsidRDefault="00C9312D" w:rsidP="00280844">
      <w:pPr>
        <w:spacing w:line="240" w:lineRule="auto"/>
        <w:rPr>
          <w:rFonts w:ascii="Arial" w:hAnsi="Arial"/>
          <w:szCs w:val="20"/>
        </w:rPr>
      </w:pPr>
      <w:r w:rsidRPr="00C9312D">
        <w:rPr>
          <w:rFonts w:ascii="Arial" w:hAnsi="Arial"/>
          <w:szCs w:val="20"/>
        </w:rPr>
        <w:t xml:space="preserve">Investment in machinery is still the most important fixed investment category in KwaZulu-Natal and accounts for 36% of fixed investment in the province. Investment in machinery grew by 28.1% year-on-year and 17.5% quarter-on-quarter. Some of this was due to pre-emptive buying as some businesses speculate the rand may weaken again later, making them more competitive. After three major declines in machinery investment since the recession </w:t>
      </w:r>
      <w:r w:rsidRPr="00C9312D">
        <w:rPr>
          <w:rFonts w:ascii="Arial" w:hAnsi="Arial"/>
          <w:szCs w:val="20"/>
        </w:rPr>
        <w:lastRenderedPageBreak/>
        <w:t xml:space="preserve">of 2008 and 2009, businesses are now in dire need of upgrading their machinery and are doing some catch-up purchasing.  </w:t>
      </w:r>
    </w:p>
    <w:p w:rsidR="00C9312D" w:rsidRPr="00C9312D" w:rsidRDefault="00C9312D" w:rsidP="00280844">
      <w:pPr>
        <w:spacing w:line="240" w:lineRule="auto"/>
        <w:rPr>
          <w:rFonts w:ascii="Arial" w:hAnsi="Arial"/>
          <w:szCs w:val="20"/>
        </w:rPr>
      </w:pPr>
      <w:r w:rsidRPr="00C9312D">
        <w:rPr>
          <w:rFonts w:ascii="Arial" w:hAnsi="Arial"/>
          <w:szCs w:val="20"/>
        </w:rPr>
        <w:t xml:space="preserve">The current strong rand that is expected to weaken later this year, also helped to increase machinery imports, as a strong exchange rate means cheaper import prices. </w:t>
      </w:r>
    </w:p>
    <w:p w:rsidR="00C9312D" w:rsidRPr="00C9312D" w:rsidRDefault="00C9312D" w:rsidP="00280844">
      <w:pPr>
        <w:spacing w:line="240" w:lineRule="auto"/>
        <w:rPr>
          <w:rFonts w:ascii="Arial" w:hAnsi="Arial"/>
          <w:szCs w:val="20"/>
        </w:rPr>
      </w:pPr>
      <w:r w:rsidRPr="00C9312D">
        <w:rPr>
          <w:rFonts w:ascii="Arial" w:hAnsi="Arial"/>
          <w:szCs w:val="20"/>
        </w:rPr>
        <w:t>Investment in imported machinery was up 35% year-on-year, while investment in locally produced machinery only grew by 1%. This trend is evident throughout the whole of South Africa.</w:t>
      </w:r>
    </w:p>
    <w:p w:rsidR="00C9312D" w:rsidRPr="00C9312D" w:rsidRDefault="00C9312D" w:rsidP="00280844">
      <w:pPr>
        <w:spacing w:line="240" w:lineRule="auto"/>
        <w:rPr>
          <w:rFonts w:ascii="Arial" w:hAnsi="Arial"/>
          <w:szCs w:val="20"/>
        </w:rPr>
      </w:pPr>
    </w:p>
    <w:p w:rsidR="00C9312D" w:rsidRPr="00C9312D" w:rsidRDefault="00C9312D" w:rsidP="00280844">
      <w:pPr>
        <w:spacing w:line="240" w:lineRule="auto"/>
        <w:rPr>
          <w:rFonts w:ascii="Arial" w:hAnsi="Arial"/>
          <w:b/>
          <w:szCs w:val="20"/>
        </w:rPr>
      </w:pPr>
      <w:r w:rsidRPr="00C9312D">
        <w:rPr>
          <w:rFonts w:ascii="Arial" w:hAnsi="Arial"/>
          <w:b/>
          <w:szCs w:val="20"/>
        </w:rPr>
        <w:t>ICT equipment investment gearing for expansion</w:t>
      </w:r>
    </w:p>
    <w:p w:rsidR="00C9312D" w:rsidRPr="00C9312D" w:rsidRDefault="00C9312D" w:rsidP="00280844">
      <w:pPr>
        <w:spacing w:line="240" w:lineRule="auto"/>
        <w:rPr>
          <w:rFonts w:ascii="Arial" w:hAnsi="Arial"/>
          <w:szCs w:val="20"/>
        </w:rPr>
      </w:pPr>
      <w:r w:rsidRPr="00C9312D">
        <w:rPr>
          <w:rFonts w:ascii="Arial" w:hAnsi="Arial"/>
          <w:szCs w:val="20"/>
        </w:rPr>
        <w:t>Investment in ICT equipment, most of which is imported, also showed the trend of rapid increases in imported fixed investment equipment. A lot of cables, cellphone towers and other ICT equipment are now entering South Africa as the country gears up for further expansion of especially the data market.</w:t>
      </w:r>
    </w:p>
    <w:p w:rsidR="00C9312D" w:rsidRPr="00C9312D" w:rsidRDefault="00C9312D" w:rsidP="00280844">
      <w:pPr>
        <w:spacing w:line="240" w:lineRule="auto"/>
        <w:rPr>
          <w:rFonts w:ascii="Arial" w:hAnsi="Arial"/>
          <w:szCs w:val="20"/>
        </w:rPr>
      </w:pPr>
      <w:r w:rsidRPr="00C9312D">
        <w:rPr>
          <w:rFonts w:ascii="Arial" w:hAnsi="Arial"/>
          <w:szCs w:val="20"/>
        </w:rPr>
        <w:t xml:space="preserve">Fixed investment in ICT equipment in KwaZulu-Natal grew by 32.5% year-on-year and 9.8% quarter-on-quarter, making it the second-fastest growing fixed investment category in the province. </w:t>
      </w:r>
    </w:p>
    <w:p w:rsidR="00C9312D" w:rsidRPr="00C9312D" w:rsidRDefault="00C9312D" w:rsidP="00280844">
      <w:pPr>
        <w:spacing w:line="240" w:lineRule="auto"/>
        <w:rPr>
          <w:rFonts w:ascii="Arial" w:hAnsi="Arial"/>
          <w:szCs w:val="20"/>
        </w:rPr>
      </w:pPr>
      <w:r w:rsidRPr="00C9312D">
        <w:rPr>
          <w:rFonts w:ascii="Arial" w:hAnsi="Arial"/>
          <w:szCs w:val="20"/>
        </w:rPr>
        <w:t xml:space="preserve">The layout of </w:t>
      </w:r>
      <w:proofErr w:type="spellStart"/>
      <w:r w:rsidRPr="00C9312D">
        <w:rPr>
          <w:rFonts w:ascii="Arial" w:hAnsi="Arial"/>
          <w:szCs w:val="20"/>
        </w:rPr>
        <w:t>fibre</w:t>
      </w:r>
      <w:proofErr w:type="spellEnd"/>
      <w:r w:rsidRPr="00C9312D">
        <w:rPr>
          <w:rFonts w:ascii="Arial" w:hAnsi="Arial"/>
          <w:szCs w:val="20"/>
        </w:rPr>
        <w:t xml:space="preserve"> optic cables from the </w:t>
      </w:r>
      <w:proofErr w:type="spellStart"/>
      <w:r w:rsidRPr="00C9312D">
        <w:rPr>
          <w:rFonts w:ascii="Arial" w:hAnsi="Arial"/>
          <w:szCs w:val="20"/>
        </w:rPr>
        <w:t>Dube</w:t>
      </w:r>
      <w:proofErr w:type="spellEnd"/>
      <w:r w:rsidRPr="00C9312D">
        <w:rPr>
          <w:rFonts w:ascii="Arial" w:hAnsi="Arial"/>
          <w:szCs w:val="20"/>
        </w:rPr>
        <w:t xml:space="preserve"> </w:t>
      </w:r>
      <w:r w:rsidR="00280844" w:rsidRPr="00C9312D">
        <w:rPr>
          <w:rFonts w:ascii="Arial" w:hAnsi="Arial"/>
          <w:szCs w:val="20"/>
        </w:rPr>
        <w:t>Trade port</w:t>
      </w:r>
      <w:r w:rsidRPr="00C9312D">
        <w:rPr>
          <w:rFonts w:ascii="Arial" w:hAnsi="Arial"/>
          <w:szCs w:val="20"/>
        </w:rPr>
        <w:t xml:space="preserve"> north of Durban to Gauteng played a big part in this. </w:t>
      </w:r>
    </w:p>
    <w:p w:rsidR="00C9312D" w:rsidRPr="00C9312D" w:rsidRDefault="00C9312D" w:rsidP="00280844">
      <w:pPr>
        <w:spacing w:line="240" w:lineRule="auto"/>
        <w:rPr>
          <w:rFonts w:ascii="Arial" w:hAnsi="Arial"/>
          <w:szCs w:val="20"/>
        </w:rPr>
      </w:pPr>
    </w:p>
    <w:p w:rsidR="00C9312D" w:rsidRPr="00C9312D" w:rsidRDefault="00C9312D" w:rsidP="00280844">
      <w:pPr>
        <w:spacing w:line="240" w:lineRule="auto"/>
        <w:rPr>
          <w:rFonts w:ascii="Arial" w:hAnsi="Arial"/>
          <w:b/>
          <w:szCs w:val="20"/>
        </w:rPr>
      </w:pPr>
      <w:r w:rsidRPr="00C9312D">
        <w:rPr>
          <w:rFonts w:ascii="Arial" w:hAnsi="Arial"/>
          <w:b/>
          <w:szCs w:val="20"/>
        </w:rPr>
        <w:t>Recovery winking for buildings investment</w:t>
      </w:r>
    </w:p>
    <w:p w:rsidR="00C9312D" w:rsidRPr="00C9312D" w:rsidRDefault="00C9312D" w:rsidP="00280844">
      <w:pPr>
        <w:spacing w:line="240" w:lineRule="auto"/>
        <w:rPr>
          <w:rFonts w:ascii="Arial" w:hAnsi="Arial"/>
          <w:szCs w:val="20"/>
        </w:rPr>
      </w:pPr>
      <w:proofErr w:type="gramStart"/>
      <w:r w:rsidRPr="00C9312D">
        <w:rPr>
          <w:rFonts w:ascii="Arial" w:hAnsi="Arial"/>
          <w:szCs w:val="20"/>
        </w:rPr>
        <w:t>Buildings investment in KwaZulu-Natal declined by 3.3% year-on-year after two months of moderate growth.</w:t>
      </w:r>
      <w:proofErr w:type="gramEnd"/>
      <w:r w:rsidRPr="00C9312D">
        <w:rPr>
          <w:rFonts w:ascii="Arial" w:hAnsi="Arial"/>
          <w:szCs w:val="20"/>
        </w:rPr>
        <w:t xml:space="preserve"> There is no cause for concern at present, as the decline was expected. Quarter-on-quarter investment in buildings grew by a modest 1.8%, the second consecutive month of growth. This surprising improvement happened slightly earlier than expected after the major property market recession, as buildings investment is usually a lagging economic indicator.</w:t>
      </w:r>
    </w:p>
    <w:p w:rsidR="00C9312D" w:rsidRPr="00C9312D" w:rsidRDefault="00C9312D" w:rsidP="00280844">
      <w:pPr>
        <w:spacing w:line="240" w:lineRule="auto"/>
        <w:rPr>
          <w:rFonts w:ascii="Arial" w:hAnsi="Arial"/>
          <w:szCs w:val="20"/>
        </w:rPr>
      </w:pPr>
    </w:p>
    <w:p w:rsidR="00C9312D" w:rsidRPr="00C9312D" w:rsidRDefault="00C9312D" w:rsidP="00280844">
      <w:pPr>
        <w:spacing w:line="240" w:lineRule="auto"/>
        <w:rPr>
          <w:rFonts w:ascii="Arial" w:hAnsi="Arial"/>
          <w:b/>
          <w:szCs w:val="20"/>
        </w:rPr>
      </w:pPr>
      <w:r w:rsidRPr="00C9312D">
        <w:rPr>
          <w:rFonts w:ascii="Arial" w:hAnsi="Arial"/>
          <w:b/>
          <w:szCs w:val="20"/>
        </w:rPr>
        <w:t>Transfer investment still muted</w:t>
      </w:r>
    </w:p>
    <w:p w:rsidR="00C9312D" w:rsidRPr="00C9312D" w:rsidRDefault="00C9312D" w:rsidP="00280844">
      <w:pPr>
        <w:spacing w:line="240" w:lineRule="auto"/>
        <w:rPr>
          <w:rFonts w:ascii="Arial" w:hAnsi="Arial"/>
          <w:szCs w:val="20"/>
        </w:rPr>
      </w:pPr>
      <w:r w:rsidRPr="00C9312D">
        <w:rPr>
          <w:rFonts w:ascii="Arial" w:hAnsi="Arial"/>
          <w:szCs w:val="20"/>
        </w:rPr>
        <w:t>Investment in transfers turned negative again and declined by 3.1% year-on-year and quarter-on-quarter. This is mostly due to the state of the property market as people are still somewhat wary of investing in new property at the moment.</w:t>
      </w:r>
    </w:p>
    <w:p w:rsidR="00C9312D" w:rsidRPr="00C9312D" w:rsidRDefault="00C9312D" w:rsidP="00280844">
      <w:pPr>
        <w:spacing w:line="240" w:lineRule="auto"/>
        <w:rPr>
          <w:rFonts w:ascii="Arial" w:hAnsi="Arial"/>
          <w:szCs w:val="20"/>
        </w:rPr>
      </w:pPr>
    </w:p>
    <w:p w:rsidR="00C9312D" w:rsidRPr="00C9312D" w:rsidRDefault="00C9312D" w:rsidP="00280844">
      <w:pPr>
        <w:spacing w:line="240" w:lineRule="auto"/>
        <w:rPr>
          <w:rFonts w:ascii="Arial" w:hAnsi="Arial"/>
          <w:b/>
          <w:szCs w:val="20"/>
        </w:rPr>
      </w:pPr>
      <w:r w:rsidRPr="00C9312D">
        <w:rPr>
          <w:rFonts w:ascii="Arial" w:hAnsi="Arial"/>
          <w:b/>
          <w:szCs w:val="20"/>
        </w:rPr>
        <w:t>Civil construction pushing forward</w:t>
      </w:r>
    </w:p>
    <w:p w:rsidR="00C9312D" w:rsidRPr="00C9312D" w:rsidRDefault="00C9312D" w:rsidP="00280844">
      <w:pPr>
        <w:spacing w:line="240" w:lineRule="auto"/>
        <w:rPr>
          <w:rFonts w:ascii="Arial" w:hAnsi="Arial"/>
          <w:szCs w:val="20"/>
        </w:rPr>
      </w:pPr>
      <w:r w:rsidRPr="00C9312D">
        <w:rPr>
          <w:rFonts w:ascii="Arial" w:hAnsi="Arial"/>
          <w:szCs w:val="20"/>
        </w:rPr>
        <w:t xml:space="preserve">Civil construction investment grew by 18.5% year-on-year and 5% quarter-on-quarter. </w:t>
      </w:r>
    </w:p>
    <w:p w:rsidR="00C9312D" w:rsidRDefault="00C9312D" w:rsidP="00280844">
      <w:pPr>
        <w:spacing w:line="240" w:lineRule="auto"/>
        <w:rPr>
          <w:rFonts w:ascii="Arial" w:hAnsi="Arial"/>
          <w:szCs w:val="20"/>
        </w:rPr>
      </w:pPr>
      <w:r w:rsidRPr="00C9312D">
        <w:rPr>
          <w:rFonts w:ascii="Arial" w:hAnsi="Arial"/>
          <w:szCs w:val="20"/>
        </w:rPr>
        <w:t>Data on the purchases of asphalt and bitumen – which are used, among others, for the construction of tarred roads – have been delayed and the latest dataset is still not available to Economists.co.za. Taking into consideration that these purchases thus remained unchanged, with a 0% growth rate, the rest of civil construction investment was still strong enough to produce double-digit year-on-year growth. This was partly driven by the 37% year-on-year increase in imported civil construction materials. Investment in structural steel, however, declined by 5%. If it was not for the shortage in bitumen slowing growth, the civil construction index of the KwaZulu-Natal fixed investment monitor would have grown even more forcefully, probably in the region of 25% year-on-year.</w:t>
      </w:r>
    </w:p>
    <w:p w:rsidR="00280844" w:rsidRDefault="00280844" w:rsidP="00280844">
      <w:pPr>
        <w:spacing w:line="240" w:lineRule="auto"/>
        <w:rPr>
          <w:rFonts w:ascii="Arial" w:hAnsi="Arial"/>
          <w:szCs w:val="20"/>
        </w:rPr>
      </w:pPr>
    </w:p>
    <w:p w:rsidR="00280844" w:rsidRPr="000A5CE8" w:rsidRDefault="00280844" w:rsidP="00280844">
      <w:pPr>
        <w:spacing w:line="240" w:lineRule="auto"/>
        <w:rPr>
          <w:rFonts w:ascii="Arial" w:hAnsi="Arial"/>
          <w:b/>
          <w:szCs w:val="20"/>
        </w:rPr>
      </w:pPr>
      <w:bookmarkStart w:id="0" w:name="_GoBack"/>
      <w:r w:rsidRPr="000A5CE8">
        <w:rPr>
          <w:rFonts w:ascii="Arial" w:hAnsi="Arial"/>
          <w:b/>
          <w:szCs w:val="20"/>
        </w:rPr>
        <w:t>Results Table:</w:t>
      </w:r>
    </w:p>
    <w:bookmarkEnd w:id="0"/>
    <w:p w:rsidR="00C9312D" w:rsidRPr="00C9312D" w:rsidRDefault="00280844" w:rsidP="00280844">
      <w:pPr>
        <w:spacing w:before="100" w:beforeAutospacing="1" w:after="100" w:afterAutospacing="1" w:line="240" w:lineRule="auto"/>
        <w:rPr>
          <w:rFonts w:ascii="Arial" w:hAnsi="Arial"/>
          <w:szCs w:val="20"/>
        </w:rPr>
      </w:pPr>
      <w:r w:rsidRPr="00280844">
        <w:rPr>
          <w:noProof/>
          <w:lang w:val="en-ZA" w:eastAsia="en-ZA"/>
        </w:rPr>
        <w:drawing>
          <wp:inline distT="0" distB="0" distL="0" distR="0">
            <wp:extent cx="5288280" cy="2072640"/>
            <wp:effectExtent l="0" t="0" r="762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88280" cy="2072640"/>
                    </a:xfrm>
                    <a:prstGeom prst="rect">
                      <a:avLst/>
                    </a:prstGeom>
                    <a:noFill/>
                    <a:ln>
                      <a:noFill/>
                    </a:ln>
                  </pic:spPr>
                </pic:pic>
              </a:graphicData>
            </a:graphic>
          </wp:inline>
        </w:drawing>
      </w:r>
    </w:p>
    <w:sectPr w:rsidR="00C9312D" w:rsidRPr="00C9312D"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23B0" w:rsidRDefault="006323B0" w:rsidP="005A53F9">
      <w:pPr>
        <w:spacing w:line="240" w:lineRule="auto"/>
      </w:pPr>
      <w:r>
        <w:separator/>
      </w:r>
    </w:p>
  </w:endnote>
  <w:endnote w:type="continuationSeparator" w:id="0">
    <w:p w:rsidR="006323B0" w:rsidRDefault="006323B0"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AA53A6">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8551F" w:rsidRPr="009A05FE" w:rsidRDefault="0078551F"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EC+M2a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23B0" w:rsidRDefault="006323B0" w:rsidP="005A53F9">
      <w:pPr>
        <w:spacing w:line="240" w:lineRule="auto"/>
      </w:pPr>
      <w:r>
        <w:separator/>
      </w:r>
    </w:p>
  </w:footnote>
  <w:footnote w:type="continuationSeparator" w:id="0">
    <w:p w:rsidR="006323B0" w:rsidRDefault="006323B0"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rsidRPr="005A53F9">
      <w:rPr>
        <w:noProof/>
        <w:lang w:val="en-ZA" w:eastAsia="en-ZA"/>
      </w:rPr>
      <w:drawing>
        <wp:inline distT="0" distB="0" distL="0" distR="0">
          <wp:extent cx="2162175" cy="771525"/>
          <wp:effectExtent l="19050" t="0" r="9525" b="0"/>
          <wp:docPr id="4" name="Picture 2" descr="Corr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LOGO"/>
                  <pic:cNvPicPr>
                    <a:picLocks noChangeAspect="1" noChangeArrowheads="1"/>
                  </pic:cNvPicPr>
                </pic:nvPicPr>
                <pic:blipFill>
                  <a:blip r:embed="rId1" cstate="print"/>
                  <a:srcRect/>
                  <a:stretch>
                    <a:fillRect/>
                  </a:stretch>
                </pic:blipFill>
                <pic:spPr bwMode="auto">
                  <a:xfrm>
                    <a:off x="0" y="0"/>
                    <a:ext cx="2162175" cy="77152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1240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124075" cy="67627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324100" cy="600075"/>
          <wp:effectExtent l="19050" t="0" r="0" b="0"/>
          <wp:docPr id="6" name="Picture 11" descr="top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7.jpg"/>
                  <pic:cNvPicPr>
                    <a:picLocks noChangeAspect="1" noChangeArrowheads="1"/>
                  </pic:cNvPicPr>
                </pic:nvPicPr>
                <pic:blipFill>
                  <a:blip r:embed="rId3" cstate="print"/>
                  <a:srcRect/>
                  <a:stretch>
                    <a:fillRect/>
                  </a:stretch>
                </pic:blipFill>
                <pic:spPr bwMode="auto">
                  <a:xfrm>
                    <a:off x="0" y="0"/>
                    <a:ext cx="2324100" cy="6000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54BB1"/>
    <w:rsid w:val="00026014"/>
    <w:rsid w:val="000A346C"/>
    <w:rsid w:val="000A5CE8"/>
    <w:rsid w:val="000C27C2"/>
    <w:rsid w:val="000F6EDC"/>
    <w:rsid w:val="00104892"/>
    <w:rsid w:val="0012629B"/>
    <w:rsid w:val="0014110B"/>
    <w:rsid w:val="00184712"/>
    <w:rsid w:val="001E4052"/>
    <w:rsid w:val="00280844"/>
    <w:rsid w:val="003B0BDF"/>
    <w:rsid w:val="003C1263"/>
    <w:rsid w:val="003D2C89"/>
    <w:rsid w:val="004246DB"/>
    <w:rsid w:val="00451BA1"/>
    <w:rsid w:val="00454BB1"/>
    <w:rsid w:val="00482F59"/>
    <w:rsid w:val="00560FC5"/>
    <w:rsid w:val="00570C0F"/>
    <w:rsid w:val="005A53F9"/>
    <w:rsid w:val="005E1A21"/>
    <w:rsid w:val="005F396D"/>
    <w:rsid w:val="006323B0"/>
    <w:rsid w:val="00662636"/>
    <w:rsid w:val="00680206"/>
    <w:rsid w:val="0069663D"/>
    <w:rsid w:val="006A6E68"/>
    <w:rsid w:val="006C21FF"/>
    <w:rsid w:val="006C3022"/>
    <w:rsid w:val="00756B58"/>
    <w:rsid w:val="007746EC"/>
    <w:rsid w:val="0078551F"/>
    <w:rsid w:val="007B66FB"/>
    <w:rsid w:val="008118BF"/>
    <w:rsid w:val="00855F84"/>
    <w:rsid w:val="008C38FE"/>
    <w:rsid w:val="00925C17"/>
    <w:rsid w:val="00946625"/>
    <w:rsid w:val="00950B0E"/>
    <w:rsid w:val="009F4B73"/>
    <w:rsid w:val="00A31FFD"/>
    <w:rsid w:val="00A700CF"/>
    <w:rsid w:val="00AA53A6"/>
    <w:rsid w:val="00B12C09"/>
    <w:rsid w:val="00B63885"/>
    <w:rsid w:val="00B72457"/>
    <w:rsid w:val="00BD3888"/>
    <w:rsid w:val="00C17D4A"/>
    <w:rsid w:val="00C9312D"/>
    <w:rsid w:val="00C94F75"/>
    <w:rsid w:val="00CA46F5"/>
    <w:rsid w:val="00CC5AD1"/>
    <w:rsid w:val="00CD2455"/>
    <w:rsid w:val="00CD39B4"/>
    <w:rsid w:val="00D04DFB"/>
    <w:rsid w:val="00D05FA7"/>
    <w:rsid w:val="00D07179"/>
    <w:rsid w:val="00D177BD"/>
    <w:rsid w:val="00E03479"/>
    <w:rsid w:val="00E4336B"/>
    <w:rsid w:val="00E6494E"/>
    <w:rsid w:val="00E857F8"/>
    <w:rsid w:val="00EB6C11"/>
    <w:rsid w:val="00EC2FEE"/>
    <w:rsid w:val="00EF73C6"/>
    <w:rsid w:val="00F37AF9"/>
    <w:rsid w:val="00F37D2D"/>
    <w:rsid w:val="00F60399"/>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ZA"/>
  <c:chart>
    <c:autoTitleDeleted val="1"/>
    <c:plotArea>
      <c:layout/>
      <c:lineChart>
        <c:grouping val="standard"/>
        <c:ser>
          <c:idx val="0"/>
          <c:order val="0"/>
          <c:tx>
            <c:strRef>
              <c:f>'Sea adjusted indices'!$AQ$4</c:f>
              <c:strCache>
                <c:ptCount val="1"/>
                <c:pt idx="0">
                  <c:v>Total KZN Investment</c:v>
                </c:pt>
              </c:strCache>
            </c:strRef>
          </c:tx>
          <c:spPr>
            <a:ln w="53975"/>
          </c:spPr>
          <c:marker>
            <c:symbol val="none"/>
          </c:marker>
          <c:cat>
            <c:numRef>
              <c:f>'Sea adjusted indices'!$A$53:$A$125</c:f>
              <c:numCache>
                <c:formatCode>mmm\-yy</c:formatCode>
                <c:ptCount val="73"/>
                <c:pt idx="0">
                  <c:v>38718</c:v>
                </c:pt>
                <c:pt idx="1">
                  <c:v>38749</c:v>
                </c:pt>
                <c:pt idx="2">
                  <c:v>38777</c:v>
                </c:pt>
                <c:pt idx="3">
                  <c:v>38808</c:v>
                </c:pt>
                <c:pt idx="4">
                  <c:v>38838</c:v>
                </c:pt>
                <c:pt idx="5">
                  <c:v>38869</c:v>
                </c:pt>
                <c:pt idx="6">
                  <c:v>38899</c:v>
                </c:pt>
                <c:pt idx="7">
                  <c:v>38930</c:v>
                </c:pt>
                <c:pt idx="8">
                  <c:v>38961</c:v>
                </c:pt>
                <c:pt idx="9">
                  <c:v>38991</c:v>
                </c:pt>
                <c:pt idx="10">
                  <c:v>39022</c:v>
                </c:pt>
                <c:pt idx="11">
                  <c:v>39052</c:v>
                </c:pt>
                <c:pt idx="12">
                  <c:v>39083</c:v>
                </c:pt>
                <c:pt idx="13">
                  <c:v>39114</c:v>
                </c:pt>
                <c:pt idx="14">
                  <c:v>39142</c:v>
                </c:pt>
                <c:pt idx="15">
                  <c:v>39173</c:v>
                </c:pt>
                <c:pt idx="16">
                  <c:v>39203</c:v>
                </c:pt>
                <c:pt idx="17">
                  <c:v>39234</c:v>
                </c:pt>
                <c:pt idx="18">
                  <c:v>39264</c:v>
                </c:pt>
                <c:pt idx="19">
                  <c:v>39295</c:v>
                </c:pt>
                <c:pt idx="20">
                  <c:v>39326</c:v>
                </c:pt>
                <c:pt idx="21">
                  <c:v>39356</c:v>
                </c:pt>
                <c:pt idx="22">
                  <c:v>39387</c:v>
                </c:pt>
                <c:pt idx="23">
                  <c:v>39417</c:v>
                </c:pt>
                <c:pt idx="24">
                  <c:v>39448</c:v>
                </c:pt>
                <c:pt idx="25">
                  <c:v>39479</c:v>
                </c:pt>
                <c:pt idx="26">
                  <c:v>39508</c:v>
                </c:pt>
                <c:pt idx="27">
                  <c:v>39539</c:v>
                </c:pt>
                <c:pt idx="28">
                  <c:v>39569</c:v>
                </c:pt>
                <c:pt idx="29">
                  <c:v>39600</c:v>
                </c:pt>
                <c:pt idx="30">
                  <c:v>39630</c:v>
                </c:pt>
                <c:pt idx="31">
                  <c:v>39661</c:v>
                </c:pt>
                <c:pt idx="32">
                  <c:v>39692</c:v>
                </c:pt>
                <c:pt idx="33">
                  <c:v>39722</c:v>
                </c:pt>
                <c:pt idx="34">
                  <c:v>39753</c:v>
                </c:pt>
                <c:pt idx="35">
                  <c:v>39783</c:v>
                </c:pt>
                <c:pt idx="36">
                  <c:v>39814</c:v>
                </c:pt>
                <c:pt idx="37">
                  <c:v>39845</c:v>
                </c:pt>
                <c:pt idx="38">
                  <c:v>39873</c:v>
                </c:pt>
                <c:pt idx="39">
                  <c:v>39904</c:v>
                </c:pt>
                <c:pt idx="40">
                  <c:v>39934</c:v>
                </c:pt>
                <c:pt idx="41">
                  <c:v>39965</c:v>
                </c:pt>
                <c:pt idx="42">
                  <c:v>39995</c:v>
                </c:pt>
                <c:pt idx="43">
                  <c:v>40026</c:v>
                </c:pt>
                <c:pt idx="44">
                  <c:v>40057</c:v>
                </c:pt>
                <c:pt idx="45">
                  <c:v>40087</c:v>
                </c:pt>
                <c:pt idx="46">
                  <c:v>40118</c:v>
                </c:pt>
                <c:pt idx="47">
                  <c:v>40148</c:v>
                </c:pt>
                <c:pt idx="48">
                  <c:v>40179</c:v>
                </c:pt>
                <c:pt idx="49">
                  <c:v>40210</c:v>
                </c:pt>
                <c:pt idx="50">
                  <c:v>40238</c:v>
                </c:pt>
                <c:pt idx="51">
                  <c:v>40269</c:v>
                </c:pt>
                <c:pt idx="52">
                  <c:v>40299</c:v>
                </c:pt>
                <c:pt idx="53">
                  <c:v>40330</c:v>
                </c:pt>
                <c:pt idx="54">
                  <c:v>40360</c:v>
                </c:pt>
                <c:pt idx="55">
                  <c:v>40391</c:v>
                </c:pt>
                <c:pt idx="56">
                  <c:v>40422</c:v>
                </c:pt>
                <c:pt idx="57">
                  <c:v>40452</c:v>
                </c:pt>
                <c:pt idx="58">
                  <c:v>40483</c:v>
                </c:pt>
                <c:pt idx="59">
                  <c:v>40513</c:v>
                </c:pt>
                <c:pt idx="60">
                  <c:v>40544</c:v>
                </c:pt>
                <c:pt idx="61">
                  <c:v>40575</c:v>
                </c:pt>
                <c:pt idx="62">
                  <c:v>40603</c:v>
                </c:pt>
                <c:pt idx="63">
                  <c:v>40634</c:v>
                </c:pt>
                <c:pt idx="64">
                  <c:v>40664</c:v>
                </c:pt>
                <c:pt idx="65">
                  <c:v>40695</c:v>
                </c:pt>
                <c:pt idx="66">
                  <c:v>40725</c:v>
                </c:pt>
                <c:pt idx="67">
                  <c:v>40756</c:v>
                </c:pt>
                <c:pt idx="68">
                  <c:v>40787</c:v>
                </c:pt>
                <c:pt idx="69">
                  <c:v>40817</c:v>
                </c:pt>
                <c:pt idx="70">
                  <c:v>40848</c:v>
                </c:pt>
                <c:pt idx="71">
                  <c:v>40878</c:v>
                </c:pt>
                <c:pt idx="72">
                  <c:v>40909</c:v>
                </c:pt>
              </c:numCache>
            </c:numRef>
          </c:cat>
          <c:val>
            <c:numRef>
              <c:f>'Sea adjusted indices'!$AQ$53:$AQ$125</c:f>
              <c:numCache>
                <c:formatCode>0.0</c:formatCode>
                <c:ptCount val="73"/>
                <c:pt idx="0">
                  <c:v>104.27436169936999</c:v>
                </c:pt>
                <c:pt idx="1">
                  <c:v>102.41491107643762</c:v>
                </c:pt>
                <c:pt idx="2">
                  <c:v>102.11029391529641</c:v>
                </c:pt>
                <c:pt idx="3">
                  <c:v>100.32710092410532</c:v>
                </c:pt>
                <c:pt idx="4">
                  <c:v>103.68351538442798</c:v>
                </c:pt>
                <c:pt idx="5">
                  <c:v>107.57839891808335</c:v>
                </c:pt>
                <c:pt idx="6">
                  <c:v>112.14840711662238</c:v>
                </c:pt>
                <c:pt idx="7">
                  <c:v>115.93548244929134</c:v>
                </c:pt>
                <c:pt idx="8">
                  <c:v>114.74187045812349</c:v>
                </c:pt>
                <c:pt idx="9">
                  <c:v>118.76798467748863</c:v>
                </c:pt>
                <c:pt idx="10">
                  <c:v>119.33227385838295</c:v>
                </c:pt>
                <c:pt idx="11">
                  <c:v>121.22153956200563</c:v>
                </c:pt>
                <c:pt idx="12">
                  <c:v>124.10411414611967</c:v>
                </c:pt>
                <c:pt idx="13">
                  <c:v>125.71189724503232</c:v>
                </c:pt>
                <c:pt idx="14">
                  <c:v>126.3670301140198</c:v>
                </c:pt>
                <c:pt idx="15">
                  <c:v>124.39252902762836</c:v>
                </c:pt>
                <c:pt idx="16">
                  <c:v>125.86671448074584</c:v>
                </c:pt>
                <c:pt idx="17">
                  <c:v>124.65385452817002</c:v>
                </c:pt>
                <c:pt idx="18">
                  <c:v>126.94429939492802</c:v>
                </c:pt>
                <c:pt idx="19">
                  <c:v>126.58395683828854</c:v>
                </c:pt>
                <c:pt idx="20">
                  <c:v>125.63406791243406</c:v>
                </c:pt>
                <c:pt idx="21">
                  <c:v>124.25152092908634</c:v>
                </c:pt>
                <c:pt idx="22">
                  <c:v>119.54489798245287</c:v>
                </c:pt>
                <c:pt idx="23">
                  <c:v>119.26979789091861</c:v>
                </c:pt>
                <c:pt idx="24">
                  <c:v>120.4369264553425</c:v>
                </c:pt>
                <c:pt idx="25">
                  <c:v>128.60731538395805</c:v>
                </c:pt>
                <c:pt idx="26">
                  <c:v>133.13727974604285</c:v>
                </c:pt>
                <c:pt idx="27">
                  <c:v>139.37431344482616</c:v>
                </c:pt>
                <c:pt idx="28">
                  <c:v>134.1369920997019</c:v>
                </c:pt>
                <c:pt idx="29">
                  <c:v>134.25676734745517</c:v>
                </c:pt>
                <c:pt idx="30">
                  <c:v>130.25687352366896</c:v>
                </c:pt>
                <c:pt idx="31">
                  <c:v>128.89717951963561</c:v>
                </c:pt>
                <c:pt idx="32">
                  <c:v>126.92577305984459</c:v>
                </c:pt>
                <c:pt idx="33">
                  <c:v>126.6020264137763</c:v>
                </c:pt>
                <c:pt idx="34">
                  <c:v>128.18075071399872</c:v>
                </c:pt>
                <c:pt idx="35">
                  <c:v>127.49948149699603</c:v>
                </c:pt>
                <c:pt idx="36">
                  <c:v>126.21702805530776</c:v>
                </c:pt>
                <c:pt idx="37">
                  <c:v>117.50465557331235</c:v>
                </c:pt>
                <c:pt idx="38">
                  <c:v>112.51670124248849</c:v>
                </c:pt>
                <c:pt idx="39">
                  <c:v>107.25914903842947</c:v>
                </c:pt>
                <c:pt idx="40">
                  <c:v>104.3594200055778</c:v>
                </c:pt>
                <c:pt idx="41">
                  <c:v>99.417663847553527</c:v>
                </c:pt>
                <c:pt idx="42">
                  <c:v>97.723093624422347</c:v>
                </c:pt>
                <c:pt idx="43">
                  <c:v>95.660942954819177</c:v>
                </c:pt>
                <c:pt idx="44">
                  <c:v>93.439389699401445</c:v>
                </c:pt>
                <c:pt idx="45">
                  <c:v>94.533242023311104</c:v>
                </c:pt>
                <c:pt idx="46">
                  <c:v>95.94451205420529</c:v>
                </c:pt>
                <c:pt idx="47">
                  <c:v>95.74646989310456</c:v>
                </c:pt>
                <c:pt idx="48">
                  <c:v>99.485457663891893</c:v>
                </c:pt>
                <c:pt idx="49">
                  <c:v>98.678161226157172</c:v>
                </c:pt>
                <c:pt idx="50">
                  <c:v>99.508650799524759</c:v>
                </c:pt>
                <c:pt idx="51">
                  <c:v>95.928812091336738</c:v>
                </c:pt>
                <c:pt idx="52">
                  <c:v>100.44173961652251</c:v>
                </c:pt>
                <c:pt idx="53">
                  <c:v>99.670154156062466</c:v>
                </c:pt>
                <c:pt idx="54">
                  <c:v>99.905446526394726</c:v>
                </c:pt>
                <c:pt idx="55">
                  <c:v>101.8885228636377</c:v>
                </c:pt>
                <c:pt idx="56">
                  <c:v>105.14427106070136</c:v>
                </c:pt>
                <c:pt idx="57">
                  <c:v>106.96116769167934</c:v>
                </c:pt>
                <c:pt idx="58">
                  <c:v>103.39329060913055</c:v>
                </c:pt>
                <c:pt idx="59">
                  <c:v>104.76774529366566</c:v>
                </c:pt>
                <c:pt idx="60">
                  <c:v>109.53874469231964</c:v>
                </c:pt>
                <c:pt idx="61">
                  <c:v>112.51667948150111</c:v>
                </c:pt>
                <c:pt idx="62">
                  <c:v>118.40749460918438</c:v>
                </c:pt>
                <c:pt idx="63">
                  <c:v>114.58639629613508</c:v>
                </c:pt>
                <c:pt idx="64">
                  <c:v>114.63818932831663</c:v>
                </c:pt>
                <c:pt idx="65">
                  <c:v>109.61191995600099</c:v>
                </c:pt>
                <c:pt idx="66">
                  <c:v>111.18423929948175</c:v>
                </c:pt>
                <c:pt idx="67">
                  <c:v>112.624802259227</c:v>
                </c:pt>
                <c:pt idx="68">
                  <c:v>120.56837876162351</c:v>
                </c:pt>
                <c:pt idx="69">
                  <c:v>122.61807106144575</c:v>
                </c:pt>
                <c:pt idx="70">
                  <c:v>126.98600268689644</c:v>
                </c:pt>
                <c:pt idx="71">
                  <c:v>126.26583961452528</c:v>
                </c:pt>
                <c:pt idx="72">
                  <c:v>136.27807496840157</c:v>
                </c:pt>
              </c:numCache>
            </c:numRef>
          </c:val>
        </c:ser>
        <c:marker val="1"/>
        <c:axId val="69920256"/>
        <c:axId val="69921792"/>
      </c:lineChart>
      <c:dateAx>
        <c:axId val="69920256"/>
        <c:scaling>
          <c:orientation val="minMax"/>
        </c:scaling>
        <c:axPos val="b"/>
        <c:numFmt formatCode="mmm\-yy" sourceLinked="1"/>
        <c:tickLblPos val="nextTo"/>
        <c:txPr>
          <a:bodyPr/>
          <a:lstStyle/>
          <a:p>
            <a:pPr>
              <a:defRPr sz="1200" b="1"/>
            </a:pPr>
            <a:endParaRPr lang="en-US"/>
          </a:p>
        </c:txPr>
        <c:crossAx val="69921792"/>
        <c:crosses val="autoZero"/>
        <c:auto val="1"/>
        <c:lblOffset val="100"/>
        <c:baseTimeUnit val="months"/>
      </c:dateAx>
      <c:valAx>
        <c:axId val="69921792"/>
        <c:scaling>
          <c:orientation val="minMax"/>
          <c:max val="140"/>
          <c:min val="90"/>
        </c:scaling>
        <c:axPos val="l"/>
        <c:majorGridlines/>
        <c:numFmt formatCode="0" sourceLinked="0"/>
        <c:tickLblPos val="nextTo"/>
        <c:txPr>
          <a:bodyPr/>
          <a:lstStyle/>
          <a:p>
            <a:pPr>
              <a:defRPr sz="1200" b="1"/>
            </a:pPr>
            <a:endParaRPr lang="en-US"/>
          </a:p>
        </c:txPr>
        <c:crossAx val="69920256"/>
        <c:crosses val="autoZero"/>
        <c:crossBetween val="between"/>
      </c:valAx>
      <c:spPr>
        <a:noFill/>
      </c:spPr>
    </c:plotArea>
    <c:legend>
      <c:legendPos val="t"/>
      <c:layout>
        <c:manualLayout>
          <c:xMode val="edge"/>
          <c:yMode val="edge"/>
          <c:x val="0.43209401709401735"/>
          <c:y val="0.11158756300810566"/>
          <c:w val="0.48299128474325331"/>
          <c:h val="9.1726721952675061E-2"/>
        </c:manualLayout>
      </c:layout>
      <c:overlay val="1"/>
      <c:txPr>
        <a:bodyPr/>
        <a:lstStyle/>
        <a:p>
          <a:pPr>
            <a:defRPr sz="1800" b="1"/>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C0CCFE-F3D8-4ECD-B23D-10DCCA45C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741</Words>
  <Characters>4226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4958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2012-04-16T01:26:00Z</dcterms:created>
  <dcterms:modified xsi:type="dcterms:W3CDTF">2012-04-16T01:26:00Z</dcterms:modified>
</cp:coreProperties>
</file>